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1F060" w14:textId="774BF5DC" w:rsidR="007A797C" w:rsidRDefault="007A797C" w:rsidP="00091B43">
      <w:pPr>
        <w:spacing w:before="0" w:after="0"/>
        <w:contextualSpacing/>
        <w:jc w:val="center"/>
      </w:pPr>
      <w:bookmarkStart w:id="0" w:name="_Hlk23501433"/>
      <w:r>
        <w:t>Board of State and Community Corrections</w:t>
      </w:r>
    </w:p>
    <w:p w14:paraId="514039E5" w14:textId="0BED8055" w:rsidR="007A797C" w:rsidRDefault="007A797C" w:rsidP="00091B43">
      <w:pPr>
        <w:spacing w:before="0" w:after="0"/>
        <w:contextualSpacing/>
        <w:jc w:val="center"/>
      </w:pPr>
      <w:r>
        <w:t xml:space="preserve"> </w:t>
      </w:r>
      <w:r w:rsidRPr="007A797C">
        <w:t>Youth Reinvestment</w:t>
      </w:r>
      <w:r>
        <w:t xml:space="preserve"> Grantee </w:t>
      </w:r>
      <w:r w:rsidR="0004311D">
        <w:t xml:space="preserve">(YRG) </w:t>
      </w:r>
      <w:r>
        <w:t>Orientation</w:t>
      </w:r>
    </w:p>
    <w:p w14:paraId="04595E89" w14:textId="77777777" w:rsidR="0004311D" w:rsidRDefault="0004311D" w:rsidP="00091B43">
      <w:pPr>
        <w:spacing w:before="0" w:after="0"/>
        <w:contextualSpacing/>
        <w:jc w:val="center"/>
      </w:pPr>
      <w:r>
        <w:t>Frequently Asked Questions</w:t>
      </w:r>
      <w:r w:rsidRPr="007A797C">
        <w:t xml:space="preserve"> </w:t>
      </w:r>
    </w:p>
    <w:p w14:paraId="2537D582" w14:textId="678895F0" w:rsidR="0004311D" w:rsidRDefault="0004311D" w:rsidP="00091B43">
      <w:pPr>
        <w:spacing w:before="0" w:after="0"/>
        <w:contextualSpacing/>
        <w:jc w:val="center"/>
      </w:pPr>
      <w:r>
        <w:t>October 8, 2019</w:t>
      </w:r>
    </w:p>
    <w:p w14:paraId="76C6F18A" w14:textId="77777777" w:rsidR="007A797C" w:rsidRDefault="007A797C" w:rsidP="00091B43">
      <w:pPr>
        <w:spacing w:before="0" w:after="0"/>
        <w:contextualSpacing/>
      </w:pPr>
    </w:p>
    <w:p w14:paraId="63096542" w14:textId="650A3016" w:rsidR="007A797C" w:rsidRDefault="007A797C" w:rsidP="00091B43">
      <w:pPr>
        <w:spacing w:before="0" w:after="0"/>
        <w:contextualSpacing/>
        <w:rPr>
          <w:rFonts w:eastAsia="Calibri" w:cs="Arial"/>
          <w:b/>
        </w:rPr>
      </w:pPr>
      <w:bookmarkStart w:id="1" w:name="_Hlk23501094"/>
      <w:r w:rsidRPr="007A797C">
        <w:rPr>
          <w:rFonts w:eastAsia="Calibri" w:cs="Arial"/>
          <w:b/>
        </w:rPr>
        <w:t xml:space="preserve">Fiscal &amp; Program Responsibilities </w:t>
      </w:r>
    </w:p>
    <w:p w14:paraId="046A2AD7" w14:textId="77777777" w:rsidR="00A2005B" w:rsidRDefault="00A2005B" w:rsidP="00091B43">
      <w:pPr>
        <w:spacing w:before="0" w:after="0"/>
        <w:contextualSpacing/>
        <w:rPr>
          <w:rFonts w:cs="Arial"/>
        </w:rPr>
      </w:pPr>
    </w:p>
    <w:p w14:paraId="77FA3ED0" w14:textId="77777777" w:rsidR="00A2005B" w:rsidRDefault="00A2005B" w:rsidP="00091B43">
      <w:pPr>
        <w:pStyle w:val="ListParagraph"/>
        <w:numPr>
          <w:ilvl w:val="0"/>
          <w:numId w:val="29"/>
        </w:numPr>
        <w:spacing w:before="0" w:after="0"/>
        <w:jc w:val="both"/>
        <w:rPr>
          <w:rFonts w:cs="Arial"/>
          <w:b/>
        </w:rPr>
      </w:pPr>
      <w:r w:rsidRPr="00C762D8">
        <w:rPr>
          <w:rFonts w:cs="Arial"/>
          <w:b/>
        </w:rPr>
        <w:t xml:space="preserve">Is the financial invoice form what we will use to request an advanced payment? </w:t>
      </w:r>
    </w:p>
    <w:p w14:paraId="5648A10E" w14:textId="77777777" w:rsidR="00A2005B" w:rsidRDefault="00A2005B" w:rsidP="00091B43">
      <w:pPr>
        <w:pStyle w:val="ListParagraph"/>
        <w:spacing w:before="0" w:after="0"/>
        <w:jc w:val="both"/>
        <w:rPr>
          <w:rFonts w:cs="Arial"/>
          <w:b/>
        </w:rPr>
      </w:pPr>
      <w:r w:rsidRPr="00C762D8">
        <w:rPr>
          <w:rFonts w:cs="Arial"/>
        </w:rPr>
        <w:t>No. BSCC has/will request the first advance payment on behalf of all grantees. The second and third advance payments will be initiated by the grantee using the invoice workbook tabs labeled “2</w:t>
      </w:r>
      <w:r w:rsidRPr="00C762D8">
        <w:rPr>
          <w:rFonts w:cs="Arial"/>
          <w:vertAlign w:val="superscript"/>
        </w:rPr>
        <w:t>nd</w:t>
      </w:r>
      <w:r w:rsidRPr="00C762D8">
        <w:rPr>
          <w:rFonts w:cs="Arial"/>
        </w:rPr>
        <w:t xml:space="preserve"> ADVANCE PAYMENT” and “3</w:t>
      </w:r>
      <w:r w:rsidRPr="00C762D8">
        <w:rPr>
          <w:rFonts w:cs="Arial"/>
          <w:vertAlign w:val="superscript"/>
        </w:rPr>
        <w:t>rd</w:t>
      </w:r>
      <w:r w:rsidRPr="00C762D8">
        <w:rPr>
          <w:rFonts w:cs="Arial"/>
        </w:rPr>
        <w:t xml:space="preserve"> ADVANCE PAYMENT,” respectively.</w:t>
      </w:r>
      <w:r w:rsidRPr="00C762D8">
        <w:rPr>
          <w:rFonts w:cs="Arial"/>
          <w:b/>
        </w:rPr>
        <w:t xml:space="preserve"> </w:t>
      </w:r>
    </w:p>
    <w:p w14:paraId="3B577AB7" w14:textId="77777777" w:rsidR="00A2005B" w:rsidRPr="00C762D8" w:rsidRDefault="00A2005B" w:rsidP="00091B43">
      <w:pPr>
        <w:pStyle w:val="ListParagraph"/>
        <w:spacing w:before="0" w:after="0"/>
        <w:jc w:val="both"/>
        <w:rPr>
          <w:rFonts w:cs="Arial"/>
          <w:b/>
        </w:rPr>
      </w:pPr>
    </w:p>
    <w:p w14:paraId="260B9626" w14:textId="77777777" w:rsidR="00A2005B" w:rsidRDefault="00A2005B" w:rsidP="00091B43">
      <w:pPr>
        <w:pStyle w:val="ListParagraph"/>
        <w:numPr>
          <w:ilvl w:val="0"/>
          <w:numId w:val="29"/>
        </w:numPr>
        <w:spacing w:before="0" w:after="0"/>
        <w:jc w:val="both"/>
        <w:rPr>
          <w:rFonts w:cs="Arial"/>
          <w:b/>
        </w:rPr>
      </w:pPr>
      <w:r w:rsidRPr="00C762D8">
        <w:rPr>
          <w:rFonts w:cs="Arial"/>
          <w:b/>
        </w:rPr>
        <w:t xml:space="preserve">Is the advance payment invoice form new? </w:t>
      </w:r>
    </w:p>
    <w:p w14:paraId="258BF737" w14:textId="77777777" w:rsidR="00A2005B" w:rsidRDefault="00A2005B" w:rsidP="00091B43">
      <w:pPr>
        <w:pStyle w:val="ListParagraph"/>
        <w:spacing w:before="0" w:after="0"/>
        <w:jc w:val="both"/>
        <w:rPr>
          <w:rFonts w:cs="Arial"/>
        </w:rPr>
      </w:pPr>
      <w:r w:rsidRPr="002F17ED">
        <w:rPr>
          <w:rFonts w:cs="Arial"/>
        </w:rPr>
        <w:t>Yes.</w:t>
      </w:r>
    </w:p>
    <w:p w14:paraId="0597B06E" w14:textId="77777777" w:rsidR="00A2005B" w:rsidRPr="002F17ED" w:rsidRDefault="00A2005B" w:rsidP="00091B43">
      <w:pPr>
        <w:pStyle w:val="ListParagraph"/>
        <w:spacing w:before="0" w:after="0"/>
        <w:jc w:val="both"/>
        <w:rPr>
          <w:rFonts w:cs="Arial"/>
        </w:rPr>
      </w:pPr>
    </w:p>
    <w:p w14:paraId="27582F53" w14:textId="77777777" w:rsidR="00A2005B" w:rsidRDefault="00A2005B" w:rsidP="00091B43">
      <w:pPr>
        <w:pStyle w:val="ListParagraph"/>
        <w:numPr>
          <w:ilvl w:val="0"/>
          <w:numId w:val="29"/>
        </w:numPr>
        <w:spacing w:before="0" w:after="0"/>
        <w:jc w:val="both"/>
        <w:rPr>
          <w:rFonts w:cs="Arial"/>
          <w:b/>
        </w:rPr>
      </w:pPr>
      <w:r w:rsidRPr="00C762D8">
        <w:rPr>
          <w:rFonts w:cs="Arial"/>
          <w:b/>
        </w:rPr>
        <w:t xml:space="preserve">When can we request our second advanced payment? </w:t>
      </w:r>
    </w:p>
    <w:p w14:paraId="7D1C41F0" w14:textId="77777777" w:rsidR="00A2005B" w:rsidRDefault="00A2005B" w:rsidP="00091B43">
      <w:pPr>
        <w:pStyle w:val="ListParagraph"/>
        <w:spacing w:before="0" w:after="0"/>
        <w:jc w:val="both"/>
        <w:rPr>
          <w:rFonts w:cs="Arial"/>
        </w:rPr>
      </w:pPr>
      <w:r w:rsidRPr="002F17ED">
        <w:rPr>
          <w:rFonts w:cs="Arial"/>
        </w:rPr>
        <w:t>When 80% of the first advance has been spent.</w:t>
      </w:r>
    </w:p>
    <w:p w14:paraId="401A9CA2" w14:textId="77777777" w:rsidR="00A2005B" w:rsidRPr="002F17ED" w:rsidRDefault="00A2005B" w:rsidP="00091B43">
      <w:pPr>
        <w:pStyle w:val="ListParagraph"/>
        <w:spacing w:before="0" w:after="0"/>
        <w:jc w:val="both"/>
        <w:rPr>
          <w:rFonts w:cs="Arial"/>
        </w:rPr>
      </w:pPr>
    </w:p>
    <w:p w14:paraId="57F7C3D9" w14:textId="77777777" w:rsidR="00A2005B" w:rsidRDefault="00A2005B" w:rsidP="00091B43">
      <w:pPr>
        <w:pStyle w:val="ListParagraph"/>
        <w:numPr>
          <w:ilvl w:val="0"/>
          <w:numId w:val="29"/>
        </w:numPr>
        <w:spacing w:before="0" w:after="0"/>
        <w:jc w:val="both"/>
        <w:rPr>
          <w:rFonts w:cs="Arial"/>
          <w:b/>
        </w:rPr>
      </w:pPr>
      <w:r w:rsidRPr="00C762D8">
        <w:rPr>
          <w:rFonts w:cs="Arial"/>
          <w:b/>
        </w:rPr>
        <w:t xml:space="preserve">Will the invoice workbook track our expenditures to reflect the 80% in order to request the next advanced payment? </w:t>
      </w:r>
    </w:p>
    <w:p w14:paraId="5721433B" w14:textId="77777777" w:rsidR="00A2005B" w:rsidRDefault="00A2005B" w:rsidP="00091B43">
      <w:pPr>
        <w:pStyle w:val="ListParagraph"/>
        <w:spacing w:before="0" w:after="0"/>
        <w:jc w:val="both"/>
        <w:rPr>
          <w:rFonts w:cs="Arial"/>
        </w:rPr>
      </w:pPr>
      <w:r w:rsidRPr="002F17ED">
        <w:rPr>
          <w:rFonts w:cs="Arial"/>
        </w:rPr>
        <w:t>Yes.</w:t>
      </w:r>
    </w:p>
    <w:p w14:paraId="321D21C0" w14:textId="77777777" w:rsidR="00A2005B" w:rsidRPr="002F17ED" w:rsidRDefault="00A2005B" w:rsidP="00091B43">
      <w:pPr>
        <w:pStyle w:val="ListParagraph"/>
        <w:spacing w:before="0" w:after="0"/>
        <w:jc w:val="both"/>
        <w:rPr>
          <w:rFonts w:cs="Arial"/>
        </w:rPr>
      </w:pPr>
    </w:p>
    <w:p w14:paraId="22A48B22" w14:textId="77777777" w:rsidR="00A2005B" w:rsidRDefault="00A2005B" w:rsidP="00091B43">
      <w:pPr>
        <w:pStyle w:val="ListParagraph"/>
        <w:numPr>
          <w:ilvl w:val="0"/>
          <w:numId w:val="29"/>
        </w:numPr>
        <w:spacing w:before="0" w:after="0"/>
        <w:jc w:val="both"/>
        <w:rPr>
          <w:rFonts w:cs="Arial"/>
          <w:b/>
        </w:rPr>
      </w:pPr>
      <w:r w:rsidRPr="00C762D8">
        <w:rPr>
          <w:rFonts w:cs="Arial"/>
          <w:b/>
        </w:rPr>
        <w:t xml:space="preserve">How much is the advanced payment? </w:t>
      </w:r>
    </w:p>
    <w:p w14:paraId="1D7A5CAA" w14:textId="77777777" w:rsidR="00A2005B" w:rsidRDefault="00A2005B" w:rsidP="00091B43">
      <w:pPr>
        <w:pStyle w:val="ListParagraph"/>
        <w:spacing w:before="0" w:after="0"/>
        <w:jc w:val="both"/>
        <w:rPr>
          <w:rFonts w:cs="Arial"/>
        </w:rPr>
      </w:pPr>
      <w:r w:rsidRPr="002F17ED">
        <w:rPr>
          <w:rFonts w:cs="Arial"/>
        </w:rPr>
        <w:t xml:space="preserve">Each advance payment will be 1/3 of the total grant award. </w:t>
      </w:r>
    </w:p>
    <w:p w14:paraId="7A4199E8" w14:textId="77777777" w:rsidR="00A2005B" w:rsidRPr="002F17ED" w:rsidRDefault="00A2005B" w:rsidP="00091B43">
      <w:pPr>
        <w:pStyle w:val="ListParagraph"/>
        <w:spacing w:before="0" w:after="0"/>
        <w:jc w:val="both"/>
        <w:rPr>
          <w:rFonts w:cs="Arial"/>
        </w:rPr>
      </w:pPr>
    </w:p>
    <w:p w14:paraId="41BA434E" w14:textId="77777777" w:rsidR="00A2005B" w:rsidRDefault="00A2005B" w:rsidP="00091B43">
      <w:pPr>
        <w:pStyle w:val="ListParagraph"/>
        <w:numPr>
          <w:ilvl w:val="0"/>
          <w:numId w:val="29"/>
        </w:numPr>
        <w:spacing w:before="0" w:after="0"/>
        <w:jc w:val="both"/>
        <w:rPr>
          <w:rFonts w:cs="Arial"/>
          <w:b/>
        </w:rPr>
      </w:pPr>
      <w:r w:rsidRPr="00C762D8">
        <w:rPr>
          <w:rFonts w:cs="Arial"/>
          <w:b/>
        </w:rPr>
        <w:t xml:space="preserve">Since BSCC is advancing the funds, are grantees required to put these funds in an interest-bearing account? </w:t>
      </w:r>
    </w:p>
    <w:p w14:paraId="21B4E214" w14:textId="77777777" w:rsidR="00A2005B" w:rsidRPr="001758E7" w:rsidRDefault="00A2005B" w:rsidP="00091B43">
      <w:pPr>
        <w:pStyle w:val="ListParagraph"/>
        <w:spacing w:before="0" w:after="0"/>
        <w:jc w:val="both"/>
        <w:rPr>
          <w:rFonts w:cs="Arial"/>
          <w:b/>
        </w:rPr>
      </w:pPr>
      <w:r w:rsidRPr="001758E7">
        <w:rPr>
          <w:rFonts w:cs="Arial"/>
        </w:rPr>
        <w:t xml:space="preserve">No. </w:t>
      </w:r>
      <w:r>
        <w:rPr>
          <w:rFonts w:cs="Arial"/>
        </w:rPr>
        <w:t xml:space="preserve">Grantees are not required to deposit these funds into an interest-bearing account. However, if you do earn interest on YRG funds, that interest must be spent on your YRG project. </w:t>
      </w:r>
    </w:p>
    <w:p w14:paraId="3351CB78" w14:textId="77777777" w:rsidR="00A2005B" w:rsidRPr="00C762D8" w:rsidRDefault="00A2005B" w:rsidP="00091B43">
      <w:pPr>
        <w:pStyle w:val="ListParagraph"/>
        <w:spacing w:before="0" w:after="0"/>
        <w:jc w:val="both"/>
        <w:rPr>
          <w:rFonts w:cs="Arial"/>
          <w:b/>
        </w:rPr>
      </w:pPr>
    </w:p>
    <w:p w14:paraId="63F788E4" w14:textId="77777777" w:rsidR="00A2005B" w:rsidRDefault="00A2005B" w:rsidP="00091B43">
      <w:pPr>
        <w:pStyle w:val="ListParagraph"/>
        <w:numPr>
          <w:ilvl w:val="0"/>
          <w:numId w:val="29"/>
        </w:numPr>
        <w:spacing w:before="0" w:after="0"/>
        <w:jc w:val="both"/>
        <w:rPr>
          <w:rFonts w:cs="Arial"/>
          <w:b/>
        </w:rPr>
      </w:pPr>
      <w:r w:rsidRPr="00C762D8">
        <w:rPr>
          <w:rFonts w:cs="Arial"/>
          <w:b/>
        </w:rPr>
        <w:t xml:space="preserve">Do YRG funds have to be in their own designated account or can they be comingled with other grant funds? </w:t>
      </w:r>
    </w:p>
    <w:p w14:paraId="2A4B8BEA" w14:textId="7CC28DC3" w:rsidR="00A2005B" w:rsidRDefault="00A2005B" w:rsidP="00091B43">
      <w:pPr>
        <w:pStyle w:val="ListParagraph"/>
        <w:spacing w:before="0" w:after="0"/>
        <w:jc w:val="both"/>
        <w:rPr>
          <w:rFonts w:cs="Arial"/>
        </w:rPr>
      </w:pPr>
      <w:r w:rsidRPr="002F17ED">
        <w:rPr>
          <w:rFonts w:cs="Arial"/>
        </w:rPr>
        <w:t xml:space="preserve">It is not necessary to open a new account for YRG funds; however, it is imperative that the grantee separately track and account for all YRG funds. If that can be done with one account that has multiple subaccounts, that is acceptable. Otherwise, a separate account would be required. </w:t>
      </w:r>
    </w:p>
    <w:p w14:paraId="2F4357DE" w14:textId="77777777" w:rsidR="00A2005B" w:rsidRPr="002F17ED" w:rsidRDefault="00A2005B" w:rsidP="00091B43">
      <w:pPr>
        <w:pStyle w:val="ListParagraph"/>
        <w:spacing w:before="0" w:after="0"/>
        <w:jc w:val="both"/>
        <w:rPr>
          <w:rFonts w:cs="Arial"/>
        </w:rPr>
      </w:pPr>
    </w:p>
    <w:p w14:paraId="458E9A8B" w14:textId="77777777" w:rsidR="00A2005B" w:rsidRDefault="00A2005B" w:rsidP="00091B43">
      <w:pPr>
        <w:pStyle w:val="ListParagraph"/>
        <w:numPr>
          <w:ilvl w:val="0"/>
          <w:numId w:val="29"/>
        </w:numPr>
        <w:spacing w:before="0" w:after="0"/>
        <w:jc w:val="both"/>
        <w:rPr>
          <w:rFonts w:cs="Arial"/>
          <w:b/>
        </w:rPr>
      </w:pPr>
      <w:r w:rsidRPr="00C762D8">
        <w:rPr>
          <w:rFonts w:cs="Arial"/>
          <w:b/>
        </w:rPr>
        <w:t xml:space="preserve">Assuming a separate account for our YRG funds, do we need to deposit match funds in a separate account? </w:t>
      </w:r>
    </w:p>
    <w:p w14:paraId="0ACB977F" w14:textId="77777777" w:rsidR="00A2005B" w:rsidRDefault="00A2005B" w:rsidP="00091B43">
      <w:pPr>
        <w:pStyle w:val="ListParagraph"/>
        <w:spacing w:before="0" w:after="0"/>
        <w:jc w:val="both"/>
        <w:rPr>
          <w:rFonts w:cs="Arial"/>
        </w:rPr>
      </w:pPr>
      <w:r w:rsidRPr="00014B58">
        <w:rPr>
          <w:rFonts w:cs="Arial"/>
        </w:rPr>
        <w:t>No.</w:t>
      </w:r>
    </w:p>
    <w:p w14:paraId="1ECA1F4D" w14:textId="4133F25C" w:rsidR="00A2005B" w:rsidRDefault="00A2005B" w:rsidP="00091B43">
      <w:pPr>
        <w:spacing w:before="0" w:after="0"/>
        <w:contextualSpacing/>
        <w:jc w:val="both"/>
        <w:rPr>
          <w:rFonts w:cs="Arial"/>
          <w:b/>
        </w:rPr>
      </w:pPr>
    </w:p>
    <w:p w14:paraId="4B1F955A" w14:textId="77EECCC7" w:rsidR="00A2005B" w:rsidRDefault="00A2005B" w:rsidP="00091B43">
      <w:pPr>
        <w:pStyle w:val="ListParagraph"/>
        <w:numPr>
          <w:ilvl w:val="0"/>
          <w:numId w:val="29"/>
        </w:numPr>
        <w:spacing w:before="0" w:after="0"/>
        <w:jc w:val="both"/>
        <w:rPr>
          <w:rFonts w:cs="Arial"/>
          <w:b/>
        </w:rPr>
      </w:pPr>
      <w:r w:rsidRPr="00C762D8">
        <w:rPr>
          <w:rFonts w:cs="Arial"/>
          <w:b/>
        </w:rPr>
        <w:t xml:space="preserve">Can money be moved from one professional services line to another for certain </w:t>
      </w:r>
      <w:r w:rsidR="00362B03">
        <w:rPr>
          <w:rFonts w:cs="Arial"/>
          <w:b/>
        </w:rPr>
        <w:t xml:space="preserve">project </w:t>
      </w:r>
      <w:r w:rsidRPr="00C762D8">
        <w:rPr>
          <w:rFonts w:cs="Arial"/>
          <w:b/>
        </w:rPr>
        <w:t xml:space="preserve">sites within the grant? For example, if we realize </w:t>
      </w:r>
      <w:r w:rsidR="00362B03">
        <w:rPr>
          <w:rFonts w:cs="Arial"/>
          <w:b/>
        </w:rPr>
        <w:t xml:space="preserve">that </w:t>
      </w:r>
      <w:r w:rsidRPr="00C762D8">
        <w:rPr>
          <w:rFonts w:cs="Arial"/>
          <w:b/>
        </w:rPr>
        <w:t xml:space="preserve">one </w:t>
      </w:r>
      <w:r w:rsidR="00362B03">
        <w:rPr>
          <w:rFonts w:cs="Arial"/>
          <w:b/>
        </w:rPr>
        <w:t xml:space="preserve">project </w:t>
      </w:r>
      <w:r w:rsidRPr="00C762D8">
        <w:rPr>
          <w:rFonts w:cs="Arial"/>
          <w:b/>
        </w:rPr>
        <w:t xml:space="preserve">site will need less money for the same type of services and </w:t>
      </w:r>
      <w:r w:rsidR="007F5BB9">
        <w:rPr>
          <w:rFonts w:cs="Arial"/>
          <w:b/>
        </w:rPr>
        <w:t>want</w:t>
      </w:r>
      <w:r w:rsidR="00362B03">
        <w:rPr>
          <w:rFonts w:cs="Arial"/>
          <w:b/>
        </w:rPr>
        <w:t xml:space="preserve"> to move</w:t>
      </w:r>
      <w:r w:rsidRPr="00C762D8">
        <w:rPr>
          <w:rFonts w:cs="Arial"/>
          <w:b/>
        </w:rPr>
        <w:t xml:space="preserve"> it to another </w:t>
      </w:r>
      <w:r w:rsidR="00362B03">
        <w:rPr>
          <w:rFonts w:cs="Arial"/>
          <w:b/>
        </w:rPr>
        <w:t xml:space="preserve">project </w:t>
      </w:r>
      <w:r w:rsidRPr="00C762D8">
        <w:rPr>
          <w:rFonts w:cs="Arial"/>
          <w:b/>
        </w:rPr>
        <w:t>site</w:t>
      </w:r>
      <w:r w:rsidR="007F5BB9">
        <w:rPr>
          <w:rFonts w:cs="Arial"/>
          <w:b/>
        </w:rPr>
        <w:t>,</w:t>
      </w:r>
      <w:r w:rsidRPr="00C762D8">
        <w:rPr>
          <w:rFonts w:cs="Arial"/>
          <w:b/>
        </w:rPr>
        <w:t xml:space="preserve"> does that </w:t>
      </w:r>
      <w:r w:rsidR="007F5BB9">
        <w:rPr>
          <w:rFonts w:cs="Arial"/>
          <w:b/>
        </w:rPr>
        <w:t>require</w:t>
      </w:r>
      <w:r w:rsidRPr="00C762D8">
        <w:rPr>
          <w:rFonts w:cs="Arial"/>
          <w:b/>
        </w:rPr>
        <w:t xml:space="preserve"> a </w:t>
      </w:r>
      <w:r w:rsidR="007F5BB9">
        <w:rPr>
          <w:rFonts w:cs="Arial"/>
          <w:b/>
        </w:rPr>
        <w:t>budget</w:t>
      </w:r>
      <w:r w:rsidRPr="00C762D8">
        <w:rPr>
          <w:rFonts w:cs="Arial"/>
          <w:b/>
        </w:rPr>
        <w:t xml:space="preserve"> modification? </w:t>
      </w:r>
      <w:r w:rsidR="007F5BB9">
        <w:rPr>
          <w:rFonts w:cs="Arial"/>
          <w:b/>
        </w:rPr>
        <w:t>In this example, the grantee</w:t>
      </w:r>
      <w:r w:rsidRPr="00C762D8">
        <w:rPr>
          <w:rFonts w:cs="Arial"/>
          <w:b/>
        </w:rPr>
        <w:t xml:space="preserve"> contract</w:t>
      </w:r>
      <w:r w:rsidR="007F5BB9">
        <w:rPr>
          <w:rFonts w:cs="Arial"/>
          <w:b/>
        </w:rPr>
        <w:t>s</w:t>
      </w:r>
      <w:r w:rsidRPr="00C762D8">
        <w:rPr>
          <w:rFonts w:cs="Arial"/>
          <w:b/>
        </w:rPr>
        <w:t xml:space="preserve"> with school districts and </w:t>
      </w:r>
      <w:r w:rsidR="007F5BB9">
        <w:rPr>
          <w:rFonts w:cs="Arial"/>
          <w:b/>
        </w:rPr>
        <w:t>discovers</w:t>
      </w:r>
      <w:r w:rsidRPr="00C762D8">
        <w:rPr>
          <w:rFonts w:cs="Arial"/>
          <w:b/>
        </w:rPr>
        <w:t xml:space="preserve"> that some school districts </w:t>
      </w:r>
      <w:r w:rsidR="007F5BB9">
        <w:rPr>
          <w:rFonts w:cs="Arial"/>
          <w:b/>
        </w:rPr>
        <w:t>do</w:t>
      </w:r>
      <w:r w:rsidRPr="00C762D8">
        <w:rPr>
          <w:rFonts w:cs="Arial"/>
          <w:b/>
        </w:rPr>
        <w:t xml:space="preserve"> not need as much money </w:t>
      </w:r>
      <w:r w:rsidR="007F5BB9">
        <w:rPr>
          <w:rFonts w:cs="Arial"/>
          <w:b/>
        </w:rPr>
        <w:t>as others</w:t>
      </w:r>
      <w:r w:rsidRPr="00C762D8">
        <w:rPr>
          <w:rFonts w:cs="Arial"/>
          <w:b/>
        </w:rPr>
        <w:t xml:space="preserve">. </w:t>
      </w:r>
    </w:p>
    <w:p w14:paraId="15B1895F" w14:textId="77777777" w:rsidR="00A2005B" w:rsidRDefault="00A2005B" w:rsidP="00091B43">
      <w:pPr>
        <w:pStyle w:val="ListParagraph"/>
        <w:spacing w:before="0" w:after="0"/>
        <w:jc w:val="both"/>
        <w:rPr>
          <w:rFonts w:cs="Arial"/>
        </w:rPr>
      </w:pPr>
      <w:r w:rsidRPr="00014B58">
        <w:rPr>
          <w:rFonts w:cs="Arial"/>
        </w:rPr>
        <w:t xml:space="preserve">A formal budget modification is not required, but the change should be discussed and documented with the Field Representative. </w:t>
      </w:r>
    </w:p>
    <w:p w14:paraId="56EFB5A9" w14:textId="77777777" w:rsidR="00A2005B" w:rsidRPr="00014B58" w:rsidRDefault="00A2005B" w:rsidP="00091B43">
      <w:pPr>
        <w:pStyle w:val="ListParagraph"/>
        <w:spacing w:before="0" w:after="0"/>
        <w:jc w:val="both"/>
        <w:rPr>
          <w:rFonts w:cs="Arial"/>
        </w:rPr>
      </w:pPr>
    </w:p>
    <w:p w14:paraId="4518FE6B" w14:textId="77777777" w:rsidR="00A2005B" w:rsidRDefault="00A2005B" w:rsidP="00091B43">
      <w:pPr>
        <w:pStyle w:val="ListParagraph"/>
        <w:numPr>
          <w:ilvl w:val="0"/>
          <w:numId w:val="29"/>
        </w:numPr>
        <w:spacing w:before="0" w:after="0"/>
        <w:jc w:val="both"/>
        <w:rPr>
          <w:rFonts w:cs="Arial"/>
          <w:b/>
        </w:rPr>
      </w:pPr>
      <w:r w:rsidRPr="00C762D8">
        <w:rPr>
          <w:rFonts w:cs="Arial"/>
          <w:b/>
        </w:rPr>
        <w:t>What is needed for a budget modification</w:t>
      </w:r>
      <w:r>
        <w:rPr>
          <w:rFonts w:cs="Arial"/>
          <w:b/>
        </w:rPr>
        <w:t xml:space="preserve"> - </w:t>
      </w:r>
      <w:r w:rsidRPr="00C762D8">
        <w:rPr>
          <w:rFonts w:cs="Arial"/>
          <w:b/>
        </w:rPr>
        <w:t>a detailed memo, a sample budget modification</w:t>
      </w:r>
      <w:r>
        <w:rPr>
          <w:rFonts w:cs="Arial"/>
          <w:b/>
        </w:rPr>
        <w:t xml:space="preserve"> -</w:t>
      </w:r>
      <w:r w:rsidRPr="00C762D8">
        <w:rPr>
          <w:rFonts w:cs="Arial"/>
          <w:b/>
        </w:rPr>
        <w:t xml:space="preserve"> and how much information is good enough to provide? Do we need prior approval? </w:t>
      </w:r>
    </w:p>
    <w:p w14:paraId="6AE52988" w14:textId="77777777" w:rsidR="00A2005B" w:rsidRDefault="00A2005B" w:rsidP="00091B43">
      <w:pPr>
        <w:pStyle w:val="ListParagraph"/>
        <w:spacing w:before="0" w:after="0"/>
        <w:jc w:val="both"/>
        <w:rPr>
          <w:rFonts w:cs="Arial"/>
        </w:rPr>
      </w:pPr>
      <w:r w:rsidRPr="009B262F">
        <w:rPr>
          <w:rFonts w:cs="Arial"/>
        </w:rPr>
        <w:t>A budget modification should have all internal approvals from the grantee prior to submission to the BSCC. Since the documentation required varies depending on the details of the specific scenario, it is recommended that you discuss your situation with the Field Representative.</w:t>
      </w:r>
    </w:p>
    <w:p w14:paraId="74773E5D" w14:textId="77777777" w:rsidR="00A2005B" w:rsidRPr="009B262F" w:rsidRDefault="00A2005B" w:rsidP="00091B43">
      <w:pPr>
        <w:pStyle w:val="ListParagraph"/>
        <w:spacing w:before="0" w:after="0"/>
        <w:jc w:val="both"/>
        <w:rPr>
          <w:rFonts w:cs="Arial"/>
        </w:rPr>
      </w:pPr>
    </w:p>
    <w:p w14:paraId="1DA06EA6" w14:textId="77777777" w:rsidR="00A2005B" w:rsidRDefault="00A2005B" w:rsidP="00091B43">
      <w:pPr>
        <w:pStyle w:val="ListParagraph"/>
        <w:numPr>
          <w:ilvl w:val="0"/>
          <w:numId w:val="29"/>
        </w:numPr>
        <w:spacing w:before="0" w:after="0"/>
        <w:jc w:val="both"/>
        <w:rPr>
          <w:rFonts w:cs="Arial"/>
          <w:b/>
        </w:rPr>
      </w:pPr>
      <w:r w:rsidRPr="00C762D8">
        <w:rPr>
          <w:rFonts w:cs="Arial"/>
          <w:b/>
        </w:rPr>
        <w:t xml:space="preserve">Is there a cut-off date for a final budget modification as you get near to the end of the grant period? </w:t>
      </w:r>
    </w:p>
    <w:p w14:paraId="2EC18955" w14:textId="77777777" w:rsidR="00A2005B" w:rsidRDefault="00A2005B" w:rsidP="00091B43">
      <w:pPr>
        <w:pStyle w:val="ListParagraph"/>
        <w:spacing w:before="0" w:after="0"/>
        <w:jc w:val="both"/>
        <w:rPr>
          <w:rFonts w:cs="Arial"/>
          <w:color w:val="7030A0"/>
        </w:rPr>
      </w:pPr>
      <w:r w:rsidRPr="009B262F">
        <w:rPr>
          <w:rFonts w:cs="Arial"/>
        </w:rPr>
        <w:t>No.</w:t>
      </w:r>
      <w:r w:rsidRPr="009B262F">
        <w:rPr>
          <w:rFonts w:cs="Arial"/>
          <w:color w:val="7030A0"/>
        </w:rPr>
        <w:t xml:space="preserve">  </w:t>
      </w:r>
    </w:p>
    <w:p w14:paraId="51BE501A" w14:textId="77777777" w:rsidR="00A2005B" w:rsidRPr="009B262F" w:rsidRDefault="00A2005B" w:rsidP="00091B43">
      <w:pPr>
        <w:pStyle w:val="ListParagraph"/>
        <w:spacing w:before="0" w:after="0"/>
        <w:jc w:val="both"/>
        <w:rPr>
          <w:rFonts w:cs="Arial"/>
        </w:rPr>
      </w:pPr>
    </w:p>
    <w:p w14:paraId="0D13E791" w14:textId="77777777" w:rsidR="00A2005B" w:rsidRDefault="00A2005B" w:rsidP="00091B43">
      <w:pPr>
        <w:pStyle w:val="ListParagraph"/>
        <w:numPr>
          <w:ilvl w:val="0"/>
          <w:numId w:val="29"/>
        </w:numPr>
        <w:spacing w:before="0" w:after="0"/>
        <w:jc w:val="both"/>
        <w:rPr>
          <w:rFonts w:cs="Arial"/>
          <w:b/>
        </w:rPr>
      </w:pPr>
      <w:r w:rsidRPr="00C762D8">
        <w:rPr>
          <w:rFonts w:cs="Arial"/>
          <w:b/>
        </w:rPr>
        <w:t xml:space="preserve">How do you want the invoice to be sent? Emailed and scanned? </w:t>
      </w:r>
    </w:p>
    <w:p w14:paraId="4FA74B4A" w14:textId="7E5C223F" w:rsidR="00A2005B" w:rsidRDefault="00A2005B" w:rsidP="00091B43">
      <w:pPr>
        <w:pStyle w:val="ListParagraph"/>
        <w:spacing w:before="0" w:after="0"/>
        <w:jc w:val="both"/>
        <w:rPr>
          <w:rFonts w:cs="Arial"/>
        </w:rPr>
      </w:pPr>
      <w:r w:rsidRPr="009B262F">
        <w:rPr>
          <w:rFonts w:cs="Arial"/>
        </w:rPr>
        <w:t xml:space="preserve">Once the invoice is approved and certified, the Authorized Financial Officer must email it to </w:t>
      </w:r>
      <w:hyperlink r:id="rId8" w:history="1">
        <w:r w:rsidRPr="009B262F">
          <w:rPr>
            <w:rStyle w:val="Hyperlink"/>
            <w:rFonts w:cs="Arial"/>
          </w:rPr>
          <w:t>YouthReinvestmentGrant@bscc.ca.gov</w:t>
        </w:r>
      </w:hyperlink>
      <w:r w:rsidRPr="009B262F">
        <w:rPr>
          <w:rFonts w:cs="Arial"/>
        </w:rPr>
        <w:t>. However, when a grantee is submitting an Advance Payment Invoice, two documents</w:t>
      </w:r>
      <w:r w:rsidR="00736F08">
        <w:rPr>
          <w:rFonts w:cs="Arial"/>
        </w:rPr>
        <w:t xml:space="preserve"> are emailed</w:t>
      </w:r>
      <w:r w:rsidRPr="009B262F">
        <w:rPr>
          <w:rFonts w:cs="Arial"/>
        </w:rPr>
        <w:t>: 1. The excel invoice workbook and 2. A scanned copy of the Advance Payment Invoice.</w:t>
      </w:r>
    </w:p>
    <w:p w14:paraId="600036C3" w14:textId="77777777" w:rsidR="00A2005B" w:rsidRDefault="00A2005B" w:rsidP="00091B43">
      <w:pPr>
        <w:pStyle w:val="ListParagraph"/>
        <w:spacing w:before="0" w:after="0"/>
        <w:jc w:val="both"/>
        <w:rPr>
          <w:rFonts w:cs="Arial"/>
        </w:rPr>
      </w:pPr>
    </w:p>
    <w:p w14:paraId="0341D1BA" w14:textId="77777777" w:rsidR="00A2005B" w:rsidRPr="008C7954" w:rsidRDefault="00A2005B" w:rsidP="00091B43">
      <w:pPr>
        <w:pStyle w:val="ListParagraph"/>
        <w:numPr>
          <w:ilvl w:val="0"/>
          <w:numId w:val="29"/>
        </w:numPr>
        <w:spacing w:before="0" w:after="0"/>
        <w:jc w:val="both"/>
        <w:rPr>
          <w:rFonts w:cs="Arial"/>
          <w:b/>
          <w:szCs w:val="24"/>
        </w:rPr>
      </w:pPr>
      <w:r w:rsidRPr="008C7954">
        <w:rPr>
          <w:rFonts w:cs="Arial"/>
          <w:b/>
          <w:szCs w:val="24"/>
        </w:rPr>
        <w:t xml:space="preserve">If we </w:t>
      </w:r>
      <w:r>
        <w:rPr>
          <w:rFonts w:cs="Arial"/>
          <w:b/>
          <w:szCs w:val="24"/>
        </w:rPr>
        <w:t xml:space="preserve">realize during some future invoicing period that we had </w:t>
      </w:r>
      <w:r w:rsidRPr="008C7954">
        <w:rPr>
          <w:rFonts w:cs="Arial"/>
          <w:b/>
          <w:szCs w:val="24"/>
        </w:rPr>
        <w:t xml:space="preserve">expenses from </w:t>
      </w:r>
      <w:r>
        <w:rPr>
          <w:rFonts w:cs="Arial"/>
          <w:b/>
          <w:szCs w:val="24"/>
        </w:rPr>
        <w:t>a previous quarter, can we claim those on a later invoice?</w:t>
      </w:r>
      <w:r w:rsidRPr="008C7954">
        <w:rPr>
          <w:rFonts w:cs="Arial"/>
          <w:b/>
          <w:szCs w:val="24"/>
        </w:rPr>
        <w:t xml:space="preserve"> </w:t>
      </w:r>
    </w:p>
    <w:p w14:paraId="0F177BDA" w14:textId="5B03D57D" w:rsidR="00A2005B" w:rsidRPr="00F70F22" w:rsidRDefault="001B3F98" w:rsidP="00091B43">
      <w:pPr>
        <w:spacing w:before="0" w:after="0"/>
        <w:ind w:left="720"/>
        <w:contextualSpacing/>
        <w:jc w:val="both"/>
        <w:rPr>
          <w:rFonts w:cs="Arial"/>
          <w:szCs w:val="24"/>
        </w:rPr>
      </w:pPr>
      <w:bookmarkStart w:id="2" w:name="_Hlk23491887"/>
      <w:r w:rsidRPr="001B3F98">
        <w:rPr>
          <w:rFonts w:cs="Arial"/>
          <w:szCs w:val="24"/>
        </w:rPr>
        <w:t>Yes. Grantee’s may claim approved expenses that were incurred in a previous quarter. It is the grantee’s responsibility to maintain clear supporting documentation for all invoice claims billed to the grant.</w:t>
      </w:r>
      <w:bookmarkEnd w:id="2"/>
    </w:p>
    <w:p w14:paraId="12F72547" w14:textId="77777777" w:rsidR="00A2005B" w:rsidRDefault="00A2005B" w:rsidP="00091B43">
      <w:pPr>
        <w:spacing w:before="0" w:after="0"/>
        <w:contextualSpacing/>
        <w:jc w:val="both"/>
        <w:rPr>
          <w:rFonts w:cs="Arial"/>
          <w:szCs w:val="24"/>
        </w:rPr>
      </w:pPr>
    </w:p>
    <w:p w14:paraId="2E5DDF6C" w14:textId="41BEAAFA" w:rsidR="00A2005B" w:rsidRPr="008C7954" w:rsidRDefault="00A2005B" w:rsidP="00091B43">
      <w:pPr>
        <w:pStyle w:val="ListParagraph"/>
        <w:numPr>
          <w:ilvl w:val="0"/>
          <w:numId w:val="29"/>
        </w:numPr>
        <w:spacing w:before="0" w:after="0"/>
        <w:jc w:val="both"/>
        <w:rPr>
          <w:rFonts w:cs="Arial"/>
          <w:b/>
          <w:szCs w:val="24"/>
        </w:rPr>
      </w:pPr>
      <w:r w:rsidRPr="008C7954">
        <w:rPr>
          <w:rFonts w:cs="Arial"/>
          <w:b/>
          <w:szCs w:val="24"/>
        </w:rPr>
        <w:t xml:space="preserve">Is the funding rolled over from year to year as well? </w:t>
      </w:r>
    </w:p>
    <w:p w14:paraId="625108C6" w14:textId="77777777" w:rsidR="00A2005B" w:rsidRDefault="00A2005B" w:rsidP="00091B43">
      <w:pPr>
        <w:spacing w:before="0" w:after="0"/>
        <w:ind w:left="720"/>
        <w:contextualSpacing/>
        <w:jc w:val="both"/>
        <w:rPr>
          <w:rFonts w:cs="Arial"/>
          <w:szCs w:val="24"/>
        </w:rPr>
      </w:pPr>
      <w:r>
        <w:rPr>
          <w:rFonts w:cs="Arial"/>
          <w:szCs w:val="24"/>
        </w:rPr>
        <w:t xml:space="preserve">Yes. Your funding is available for the full term of the grant. </w:t>
      </w:r>
    </w:p>
    <w:p w14:paraId="59CA8C43" w14:textId="77777777" w:rsidR="00A2005B" w:rsidRPr="00F70F22" w:rsidRDefault="00A2005B" w:rsidP="00091B43">
      <w:pPr>
        <w:spacing w:before="0" w:after="0"/>
        <w:contextualSpacing/>
        <w:jc w:val="both"/>
        <w:rPr>
          <w:rFonts w:cs="Arial"/>
          <w:szCs w:val="24"/>
        </w:rPr>
      </w:pPr>
    </w:p>
    <w:p w14:paraId="4A73DB9A" w14:textId="2C63DB76" w:rsidR="00A2005B" w:rsidRPr="008C7954" w:rsidRDefault="00A2005B" w:rsidP="00091B43">
      <w:pPr>
        <w:pStyle w:val="ListParagraph"/>
        <w:numPr>
          <w:ilvl w:val="0"/>
          <w:numId w:val="29"/>
        </w:numPr>
        <w:spacing w:before="0" w:after="0"/>
        <w:jc w:val="both"/>
        <w:rPr>
          <w:rFonts w:cs="Arial"/>
          <w:b/>
          <w:szCs w:val="24"/>
        </w:rPr>
      </w:pPr>
      <w:r w:rsidRPr="008C7954">
        <w:rPr>
          <w:rFonts w:cs="Arial"/>
          <w:b/>
          <w:szCs w:val="24"/>
        </w:rPr>
        <w:t>S</w:t>
      </w:r>
      <w:r w:rsidR="00A15687">
        <w:rPr>
          <w:rFonts w:cs="Arial"/>
          <w:b/>
          <w:szCs w:val="24"/>
        </w:rPr>
        <w:t>ince</w:t>
      </w:r>
      <w:r w:rsidRPr="008C7954">
        <w:rPr>
          <w:rFonts w:cs="Arial"/>
          <w:b/>
          <w:szCs w:val="24"/>
        </w:rPr>
        <w:t xml:space="preserve"> the Financial Invoice doesn’t render payment directly</w:t>
      </w:r>
      <w:r w:rsidR="00A15687">
        <w:rPr>
          <w:rFonts w:cs="Arial"/>
          <w:b/>
          <w:szCs w:val="24"/>
        </w:rPr>
        <w:t>, d</w:t>
      </w:r>
      <w:r w:rsidRPr="008C7954">
        <w:rPr>
          <w:rFonts w:cs="Arial"/>
          <w:b/>
          <w:szCs w:val="24"/>
        </w:rPr>
        <w:t xml:space="preserve">o you want us to report accruals like expenditures that have incurred within the quarter but have not been paid yet?  </w:t>
      </w:r>
    </w:p>
    <w:p w14:paraId="59BC870C" w14:textId="77777777" w:rsidR="00A2005B" w:rsidRDefault="00A2005B" w:rsidP="00091B43">
      <w:pPr>
        <w:spacing w:before="0" w:after="0"/>
        <w:ind w:left="720"/>
        <w:contextualSpacing/>
        <w:jc w:val="both"/>
        <w:rPr>
          <w:rFonts w:cs="Arial"/>
          <w:szCs w:val="24"/>
        </w:rPr>
      </w:pPr>
      <w:r>
        <w:rPr>
          <w:rFonts w:cs="Arial"/>
          <w:szCs w:val="24"/>
        </w:rPr>
        <w:t xml:space="preserve">No. You need to invoice for expenses that have actually been paid. </w:t>
      </w:r>
    </w:p>
    <w:p w14:paraId="3095CAFA" w14:textId="77777777" w:rsidR="00A2005B" w:rsidRDefault="00A2005B" w:rsidP="00091B43">
      <w:pPr>
        <w:spacing w:before="0" w:after="0"/>
        <w:contextualSpacing/>
        <w:jc w:val="both"/>
        <w:rPr>
          <w:rFonts w:cs="Arial"/>
          <w:szCs w:val="24"/>
        </w:rPr>
      </w:pPr>
    </w:p>
    <w:p w14:paraId="7D9896B5" w14:textId="77777777" w:rsidR="00A2005B" w:rsidRPr="004F4641" w:rsidRDefault="00A2005B" w:rsidP="00091B43">
      <w:pPr>
        <w:pStyle w:val="ListParagraph"/>
        <w:numPr>
          <w:ilvl w:val="0"/>
          <w:numId w:val="29"/>
        </w:numPr>
        <w:spacing w:before="0" w:after="0"/>
        <w:jc w:val="both"/>
        <w:rPr>
          <w:rFonts w:cs="Arial"/>
          <w:b/>
          <w:szCs w:val="24"/>
        </w:rPr>
      </w:pPr>
      <w:r w:rsidRPr="004F4641">
        <w:rPr>
          <w:rFonts w:cs="Arial"/>
          <w:b/>
          <w:szCs w:val="24"/>
        </w:rPr>
        <w:t>If they are working through the last period of the grant but don’t get paid until two</w:t>
      </w:r>
      <w:r>
        <w:rPr>
          <w:rFonts w:cs="Arial"/>
          <w:b/>
          <w:szCs w:val="24"/>
        </w:rPr>
        <w:t xml:space="preserve"> or</w:t>
      </w:r>
      <w:r w:rsidRPr="004F4641">
        <w:rPr>
          <w:rFonts w:cs="Arial"/>
          <w:b/>
          <w:szCs w:val="24"/>
        </w:rPr>
        <w:t xml:space="preserve"> three weeks later. Then, how do we build that into the expenses?   </w:t>
      </w:r>
    </w:p>
    <w:p w14:paraId="61DA9F4E" w14:textId="77777777" w:rsidR="00A2005B" w:rsidRDefault="00A2005B" w:rsidP="00091B43">
      <w:pPr>
        <w:spacing w:before="0" w:after="0"/>
        <w:ind w:left="720"/>
        <w:contextualSpacing/>
        <w:jc w:val="both"/>
        <w:rPr>
          <w:rFonts w:cs="Arial"/>
          <w:szCs w:val="24"/>
        </w:rPr>
      </w:pPr>
      <w:r>
        <w:rPr>
          <w:rFonts w:cs="Arial"/>
          <w:szCs w:val="24"/>
        </w:rPr>
        <w:t xml:space="preserve">Your expenses will be incurred within the grant term but there is time for the billing process to happen after that. </w:t>
      </w:r>
    </w:p>
    <w:p w14:paraId="1B1E4F6D" w14:textId="77777777" w:rsidR="00A2005B" w:rsidRDefault="00A2005B" w:rsidP="00091B43">
      <w:pPr>
        <w:spacing w:before="0" w:after="0"/>
        <w:contextualSpacing/>
        <w:jc w:val="both"/>
        <w:rPr>
          <w:rFonts w:cs="Arial"/>
          <w:szCs w:val="24"/>
        </w:rPr>
      </w:pPr>
    </w:p>
    <w:p w14:paraId="74D9C523" w14:textId="77777777" w:rsidR="00A2005B" w:rsidRPr="004F4641" w:rsidRDefault="00A2005B" w:rsidP="00091B43">
      <w:pPr>
        <w:pStyle w:val="ListParagraph"/>
        <w:numPr>
          <w:ilvl w:val="0"/>
          <w:numId w:val="29"/>
        </w:numPr>
        <w:spacing w:before="0" w:after="0"/>
        <w:jc w:val="both"/>
        <w:rPr>
          <w:rFonts w:cs="Arial"/>
          <w:b/>
          <w:szCs w:val="24"/>
        </w:rPr>
      </w:pPr>
      <w:r w:rsidRPr="004F4641">
        <w:rPr>
          <w:rFonts w:cs="Arial"/>
          <w:b/>
          <w:szCs w:val="24"/>
        </w:rPr>
        <w:t xml:space="preserve">You said the first advance is automatic. When will those be mailed?  </w:t>
      </w:r>
    </w:p>
    <w:p w14:paraId="616CC6ED" w14:textId="77777777" w:rsidR="00A2005B" w:rsidRPr="00F70F22" w:rsidRDefault="00A2005B" w:rsidP="00091B43">
      <w:pPr>
        <w:spacing w:before="0" w:after="0"/>
        <w:ind w:left="720"/>
        <w:contextualSpacing/>
        <w:jc w:val="both"/>
        <w:rPr>
          <w:rFonts w:cs="Arial"/>
          <w:szCs w:val="24"/>
        </w:rPr>
      </w:pPr>
      <w:r w:rsidRPr="00F469CD">
        <w:rPr>
          <w:rFonts w:cs="Arial"/>
          <w:szCs w:val="24"/>
        </w:rPr>
        <w:t xml:space="preserve">Yes, </w:t>
      </w:r>
      <w:r>
        <w:rPr>
          <w:rFonts w:cs="Arial"/>
          <w:szCs w:val="24"/>
        </w:rPr>
        <w:t>it is automatic as w</w:t>
      </w:r>
      <w:r w:rsidRPr="00F469CD">
        <w:rPr>
          <w:rFonts w:cs="Arial"/>
          <w:szCs w:val="24"/>
        </w:rPr>
        <w:t>e initiated all of those on your behalf. From the date that your contact is fully executed</w:t>
      </w:r>
      <w:r>
        <w:rPr>
          <w:rFonts w:cs="Arial"/>
          <w:szCs w:val="24"/>
        </w:rPr>
        <w:t>,</w:t>
      </w:r>
      <w:r w:rsidRPr="00F469CD">
        <w:rPr>
          <w:rFonts w:cs="Arial"/>
          <w:szCs w:val="24"/>
        </w:rPr>
        <w:t xml:space="preserve"> which means </w:t>
      </w:r>
      <w:r>
        <w:rPr>
          <w:rFonts w:cs="Arial"/>
          <w:szCs w:val="24"/>
        </w:rPr>
        <w:t xml:space="preserve">it has been </w:t>
      </w:r>
      <w:r w:rsidRPr="00F469CD">
        <w:rPr>
          <w:rFonts w:cs="Arial"/>
          <w:szCs w:val="24"/>
        </w:rPr>
        <w:t>signed by everyone on your side and everyone on our side</w:t>
      </w:r>
      <w:r>
        <w:rPr>
          <w:rFonts w:cs="Arial"/>
          <w:szCs w:val="24"/>
        </w:rPr>
        <w:t xml:space="preserve">, </w:t>
      </w:r>
      <w:r w:rsidRPr="00F469CD">
        <w:rPr>
          <w:rFonts w:cs="Arial"/>
          <w:szCs w:val="24"/>
        </w:rPr>
        <w:t>we have 45 days</w:t>
      </w:r>
      <w:r>
        <w:rPr>
          <w:rFonts w:cs="Arial"/>
          <w:szCs w:val="24"/>
        </w:rPr>
        <w:t xml:space="preserve"> to make the first advance payment</w:t>
      </w:r>
      <w:r w:rsidRPr="00F469CD">
        <w:rPr>
          <w:rFonts w:cs="Arial"/>
          <w:szCs w:val="24"/>
        </w:rPr>
        <w:t xml:space="preserve">. </w:t>
      </w:r>
      <w:r>
        <w:rPr>
          <w:rFonts w:cs="Arial"/>
          <w:szCs w:val="24"/>
        </w:rPr>
        <w:t>These payments are sent directly from the State Controller’s Office</w:t>
      </w:r>
      <w:r w:rsidRPr="00F469CD">
        <w:rPr>
          <w:rFonts w:cs="Arial"/>
          <w:szCs w:val="24"/>
        </w:rPr>
        <w:t>.</w:t>
      </w:r>
      <w:r>
        <w:rPr>
          <w:rFonts w:cs="Arial"/>
          <w:b/>
          <w:szCs w:val="24"/>
        </w:rPr>
        <w:t xml:space="preserve"> </w:t>
      </w:r>
    </w:p>
    <w:p w14:paraId="25184BA4" w14:textId="77777777" w:rsidR="00A2005B" w:rsidRPr="009B262F" w:rsidRDefault="00A2005B" w:rsidP="00091B43">
      <w:pPr>
        <w:pStyle w:val="ListParagraph"/>
        <w:spacing w:before="0" w:after="0"/>
        <w:jc w:val="both"/>
        <w:rPr>
          <w:rFonts w:cs="Arial"/>
        </w:rPr>
      </w:pPr>
    </w:p>
    <w:p w14:paraId="301A8861" w14:textId="77777777" w:rsidR="00A2005B" w:rsidRDefault="00A2005B" w:rsidP="00091B43">
      <w:pPr>
        <w:pStyle w:val="ListParagraph"/>
        <w:numPr>
          <w:ilvl w:val="0"/>
          <w:numId w:val="29"/>
        </w:numPr>
        <w:spacing w:before="0" w:after="0"/>
        <w:jc w:val="both"/>
        <w:rPr>
          <w:rFonts w:cs="Arial"/>
          <w:b/>
        </w:rPr>
      </w:pPr>
      <w:r w:rsidRPr="00C762D8">
        <w:rPr>
          <w:rFonts w:cs="Arial"/>
          <w:b/>
        </w:rPr>
        <w:t xml:space="preserve">Is BSCC requiring supporting documentation with submittal of each financial invoice? </w:t>
      </w:r>
    </w:p>
    <w:p w14:paraId="04EEB4C1" w14:textId="77777777" w:rsidR="00A2005B" w:rsidRDefault="00A2005B" w:rsidP="00091B43">
      <w:pPr>
        <w:pStyle w:val="ListParagraph"/>
        <w:spacing w:before="0" w:after="0"/>
        <w:jc w:val="both"/>
        <w:rPr>
          <w:rFonts w:cs="Arial"/>
        </w:rPr>
      </w:pPr>
      <w:r w:rsidRPr="009B262F">
        <w:rPr>
          <w:rFonts w:cs="Arial"/>
        </w:rPr>
        <w:t xml:space="preserve">Grantees will soon be receiving an email regarding the desk review schedule and grantees will always have advance notice prior to a desk review being required. </w:t>
      </w:r>
    </w:p>
    <w:p w14:paraId="5498F67A" w14:textId="77777777" w:rsidR="00A2005B" w:rsidRPr="009B262F" w:rsidRDefault="00A2005B" w:rsidP="00091B43">
      <w:pPr>
        <w:pStyle w:val="ListParagraph"/>
        <w:spacing w:before="0" w:after="0"/>
        <w:jc w:val="both"/>
        <w:rPr>
          <w:rFonts w:cs="Arial"/>
        </w:rPr>
      </w:pPr>
    </w:p>
    <w:p w14:paraId="0B34802A" w14:textId="77777777" w:rsidR="00A2005B" w:rsidRDefault="00A2005B" w:rsidP="00091B43">
      <w:pPr>
        <w:pStyle w:val="ListParagraph"/>
        <w:numPr>
          <w:ilvl w:val="0"/>
          <w:numId w:val="29"/>
        </w:numPr>
        <w:spacing w:before="0" w:after="0"/>
        <w:jc w:val="both"/>
        <w:rPr>
          <w:rFonts w:cs="Arial"/>
          <w:b/>
        </w:rPr>
      </w:pPr>
      <w:r w:rsidRPr="00C762D8">
        <w:rPr>
          <w:rFonts w:cs="Arial"/>
          <w:b/>
        </w:rPr>
        <w:t xml:space="preserve">When and how far in advance will BSCC notify grantees of requiring the supporting documentation for an invoice each quarter? </w:t>
      </w:r>
    </w:p>
    <w:p w14:paraId="78257690" w14:textId="77777777" w:rsidR="00A2005B" w:rsidRDefault="00A2005B" w:rsidP="00091B43">
      <w:pPr>
        <w:pStyle w:val="ListParagraph"/>
        <w:spacing w:before="0" w:after="0"/>
        <w:jc w:val="both"/>
        <w:rPr>
          <w:rFonts w:cs="Arial"/>
          <w:color w:val="7030A0"/>
        </w:rPr>
      </w:pPr>
      <w:r w:rsidRPr="009B262F">
        <w:rPr>
          <w:rFonts w:cs="Arial"/>
        </w:rPr>
        <w:lastRenderedPageBreak/>
        <w:t xml:space="preserve">Grantees will be informed prior to the beginning of a reporting period if a desk review will be required for that invoice. </w:t>
      </w:r>
      <w:r w:rsidRPr="009B262F">
        <w:rPr>
          <w:rFonts w:cs="Arial"/>
          <w:color w:val="7030A0"/>
        </w:rPr>
        <w:t xml:space="preserve"> </w:t>
      </w:r>
    </w:p>
    <w:p w14:paraId="50427211" w14:textId="77777777" w:rsidR="00A2005B" w:rsidRPr="009B262F" w:rsidRDefault="00A2005B" w:rsidP="00091B43">
      <w:pPr>
        <w:pStyle w:val="ListParagraph"/>
        <w:spacing w:before="0" w:after="0"/>
        <w:jc w:val="both"/>
        <w:rPr>
          <w:rFonts w:cs="Arial"/>
        </w:rPr>
      </w:pPr>
    </w:p>
    <w:p w14:paraId="201EC47A" w14:textId="3D2201CA" w:rsidR="00A2005B" w:rsidRDefault="00A2005B" w:rsidP="00091B43">
      <w:pPr>
        <w:pStyle w:val="ListParagraph"/>
        <w:numPr>
          <w:ilvl w:val="0"/>
          <w:numId w:val="29"/>
        </w:numPr>
        <w:spacing w:before="0" w:after="0"/>
        <w:jc w:val="both"/>
        <w:rPr>
          <w:rFonts w:cs="Arial"/>
          <w:b/>
        </w:rPr>
      </w:pPr>
      <w:bookmarkStart w:id="3" w:name="_Hlk23492378"/>
      <w:r w:rsidRPr="00C762D8">
        <w:rPr>
          <w:rFonts w:cs="Arial"/>
          <w:b/>
        </w:rPr>
        <w:t xml:space="preserve">Do we have to </w:t>
      </w:r>
      <w:r w:rsidR="00362B03">
        <w:rPr>
          <w:rFonts w:cs="Arial"/>
          <w:b/>
        </w:rPr>
        <w:t>submit</w:t>
      </w:r>
      <w:r w:rsidRPr="00C762D8">
        <w:rPr>
          <w:rFonts w:cs="Arial"/>
          <w:b/>
        </w:rPr>
        <w:t xml:space="preserve"> timecards</w:t>
      </w:r>
      <w:r w:rsidR="00362B03">
        <w:rPr>
          <w:rFonts w:cs="Arial"/>
          <w:b/>
        </w:rPr>
        <w:t xml:space="preserve"> with each invoice</w:t>
      </w:r>
      <w:r w:rsidRPr="00C762D8">
        <w:rPr>
          <w:rFonts w:cs="Arial"/>
          <w:b/>
        </w:rPr>
        <w:t xml:space="preserve"> to reflect time spent on YRG</w:t>
      </w:r>
      <w:r w:rsidR="00362B03">
        <w:rPr>
          <w:rFonts w:cs="Arial"/>
          <w:b/>
        </w:rPr>
        <w:t>? Or do we just maintain these records</w:t>
      </w:r>
      <w:r w:rsidRPr="00C762D8">
        <w:rPr>
          <w:rFonts w:cs="Arial"/>
          <w:b/>
        </w:rPr>
        <w:t xml:space="preserve"> in case of an audit? </w:t>
      </w:r>
    </w:p>
    <w:p w14:paraId="57644F0A" w14:textId="62A8D138" w:rsidR="00A2005B" w:rsidRDefault="00E3758C" w:rsidP="00091B43">
      <w:pPr>
        <w:pStyle w:val="ListParagraph"/>
        <w:spacing w:before="0" w:after="0"/>
        <w:jc w:val="both"/>
        <w:rPr>
          <w:rFonts w:cs="Arial"/>
        </w:rPr>
      </w:pPr>
      <w:r w:rsidRPr="00E3758C">
        <w:rPr>
          <w:rFonts w:cs="Arial"/>
        </w:rPr>
        <w:t>Grantees must document and maintain records that support time billed to YRG.</w:t>
      </w:r>
      <w:r w:rsidR="00BF4471">
        <w:rPr>
          <w:rFonts w:cs="Arial"/>
        </w:rPr>
        <w:t xml:space="preserve"> </w:t>
      </w:r>
      <w:r w:rsidR="00A2005B" w:rsidRPr="009B262F">
        <w:rPr>
          <w:rFonts w:cs="Arial"/>
        </w:rPr>
        <w:t>These records must be made available when requested</w:t>
      </w:r>
      <w:r w:rsidR="00A15687">
        <w:rPr>
          <w:rFonts w:cs="Arial"/>
        </w:rPr>
        <w:t xml:space="preserve"> but should not be </w:t>
      </w:r>
      <w:r w:rsidR="00362B03">
        <w:rPr>
          <w:rFonts w:cs="Arial"/>
        </w:rPr>
        <w:t xml:space="preserve">routinely </w:t>
      </w:r>
      <w:r w:rsidR="00A15687">
        <w:rPr>
          <w:rFonts w:cs="Arial"/>
        </w:rPr>
        <w:t xml:space="preserve">submitted </w:t>
      </w:r>
      <w:r w:rsidR="00362B03">
        <w:rPr>
          <w:rFonts w:cs="Arial"/>
        </w:rPr>
        <w:t>with every invoice</w:t>
      </w:r>
    </w:p>
    <w:bookmarkEnd w:id="3"/>
    <w:p w14:paraId="3E3920DA" w14:textId="77777777" w:rsidR="00A2005B" w:rsidRPr="009B262F" w:rsidRDefault="00A2005B" w:rsidP="00091B43">
      <w:pPr>
        <w:pStyle w:val="ListParagraph"/>
        <w:spacing w:before="0" w:after="0"/>
        <w:jc w:val="both"/>
        <w:rPr>
          <w:rFonts w:cs="Arial"/>
        </w:rPr>
      </w:pPr>
    </w:p>
    <w:p w14:paraId="30AE2C74" w14:textId="77777777" w:rsidR="00A2005B" w:rsidRDefault="00A2005B" w:rsidP="00091B43">
      <w:pPr>
        <w:pStyle w:val="ListParagraph"/>
        <w:numPr>
          <w:ilvl w:val="0"/>
          <w:numId w:val="29"/>
        </w:numPr>
        <w:spacing w:before="0" w:after="0"/>
        <w:jc w:val="both"/>
        <w:rPr>
          <w:rFonts w:cs="Arial"/>
          <w:b/>
        </w:rPr>
      </w:pPr>
      <w:r w:rsidRPr="00C762D8">
        <w:rPr>
          <w:rFonts w:cs="Arial"/>
          <w:b/>
        </w:rPr>
        <w:t xml:space="preserve">Does BSCC require a certain schedule for the disbursement of funds to our subcontractors? </w:t>
      </w:r>
    </w:p>
    <w:p w14:paraId="24EC2F24" w14:textId="77777777" w:rsidR="00A2005B" w:rsidRDefault="00A2005B" w:rsidP="00091B43">
      <w:pPr>
        <w:pStyle w:val="ListParagraph"/>
        <w:spacing w:before="0" w:after="0"/>
        <w:jc w:val="both"/>
        <w:rPr>
          <w:rFonts w:cs="Arial"/>
        </w:rPr>
      </w:pPr>
      <w:r w:rsidRPr="009B262F">
        <w:rPr>
          <w:rFonts w:cs="Arial"/>
        </w:rPr>
        <w:t xml:space="preserve">No. The grantee, or designated lead public agency, should follow their local policies and procedures. </w:t>
      </w:r>
    </w:p>
    <w:p w14:paraId="13D9391E" w14:textId="77777777" w:rsidR="00A2005B" w:rsidRPr="009B262F" w:rsidRDefault="00A2005B" w:rsidP="00091B43">
      <w:pPr>
        <w:pStyle w:val="ListParagraph"/>
        <w:spacing w:before="0" w:after="0"/>
        <w:jc w:val="both"/>
        <w:rPr>
          <w:rFonts w:cs="Arial"/>
        </w:rPr>
      </w:pPr>
    </w:p>
    <w:p w14:paraId="0F7100DA" w14:textId="77777777" w:rsidR="00A2005B" w:rsidRDefault="00A2005B" w:rsidP="00091B43">
      <w:pPr>
        <w:pStyle w:val="ListParagraph"/>
        <w:numPr>
          <w:ilvl w:val="0"/>
          <w:numId w:val="29"/>
        </w:numPr>
        <w:spacing w:before="0" w:after="0"/>
        <w:jc w:val="both"/>
        <w:rPr>
          <w:rFonts w:cs="Arial"/>
          <w:b/>
        </w:rPr>
      </w:pPr>
      <w:r w:rsidRPr="00C762D8">
        <w:rPr>
          <w:rFonts w:cs="Arial"/>
          <w:b/>
        </w:rPr>
        <w:t xml:space="preserve">If we do not have any expenditures during a reporting period, are we still required to submit an invoice? </w:t>
      </w:r>
    </w:p>
    <w:p w14:paraId="7D3A7393" w14:textId="1DF07D22" w:rsidR="00A2005B" w:rsidRDefault="00A2005B" w:rsidP="00091B43">
      <w:pPr>
        <w:pStyle w:val="ListParagraph"/>
        <w:spacing w:before="0" w:after="0"/>
        <w:jc w:val="both"/>
        <w:rPr>
          <w:rFonts w:cs="Arial"/>
        </w:rPr>
      </w:pPr>
      <w:r w:rsidRPr="009B262F">
        <w:rPr>
          <w:rFonts w:cs="Arial"/>
        </w:rPr>
        <w:t>Yes.</w:t>
      </w:r>
      <w:r w:rsidR="00E3758C">
        <w:rPr>
          <w:rFonts w:cs="Arial"/>
        </w:rPr>
        <w:t xml:space="preserve"> Submit an invoice claim for $0.</w:t>
      </w:r>
    </w:p>
    <w:p w14:paraId="4670BA13" w14:textId="77777777" w:rsidR="00A2005B" w:rsidRPr="009B262F" w:rsidRDefault="00A2005B" w:rsidP="00091B43">
      <w:pPr>
        <w:pStyle w:val="ListParagraph"/>
        <w:spacing w:before="0" w:after="0"/>
        <w:jc w:val="both"/>
        <w:rPr>
          <w:rFonts w:cs="Arial"/>
        </w:rPr>
      </w:pPr>
    </w:p>
    <w:p w14:paraId="6D9F457D" w14:textId="77777777" w:rsidR="00A2005B" w:rsidRDefault="00A2005B" w:rsidP="00091B43">
      <w:pPr>
        <w:pStyle w:val="ListParagraph"/>
        <w:numPr>
          <w:ilvl w:val="0"/>
          <w:numId w:val="29"/>
        </w:numPr>
        <w:spacing w:before="0" w:after="0"/>
        <w:jc w:val="both"/>
        <w:rPr>
          <w:rFonts w:cs="Arial"/>
          <w:b/>
        </w:rPr>
      </w:pPr>
      <w:r w:rsidRPr="00C762D8">
        <w:rPr>
          <w:rFonts w:cs="Arial"/>
          <w:b/>
        </w:rPr>
        <w:t xml:space="preserve">Are the invoices to be submitted quarterly? </w:t>
      </w:r>
    </w:p>
    <w:p w14:paraId="1239BD68" w14:textId="77777777" w:rsidR="00A2005B" w:rsidRDefault="00A2005B" w:rsidP="00091B43">
      <w:pPr>
        <w:pStyle w:val="ListParagraph"/>
        <w:spacing w:before="0" w:after="0"/>
        <w:jc w:val="both"/>
        <w:rPr>
          <w:rFonts w:cs="Arial"/>
        </w:rPr>
      </w:pPr>
      <w:r w:rsidRPr="009B262F">
        <w:rPr>
          <w:rFonts w:cs="Arial"/>
        </w:rPr>
        <w:t>Yes.</w:t>
      </w:r>
    </w:p>
    <w:p w14:paraId="4C23EEF6" w14:textId="77777777" w:rsidR="00A2005B" w:rsidRPr="009B262F" w:rsidRDefault="00A2005B" w:rsidP="00091B43">
      <w:pPr>
        <w:pStyle w:val="ListParagraph"/>
        <w:spacing w:before="0" w:after="0"/>
        <w:jc w:val="both"/>
        <w:rPr>
          <w:rFonts w:cs="Arial"/>
        </w:rPr>
      </w:pPr>
    </w:p>
    <w:p w14:paraId="19932557" w14:textId="77777777" w:rsidR="00A2005B" w:rsidRDefault="00A2005B" w:rsidP="00091B43">
      <w:pPr>
        <w:pStyle w:val="ListParagraph"/>
        <w:numPr>
          <w:ilvl w:val="0"/>
          <w:numId w:val="29"/>
        </w:numPr>
        <w:spacing w:before="0" w:after="0"/>
        <w:jc w:val="both"/>
        <w:rPr>
          <w:rFonts w:cs="Arial"/>
          <w:b/>
        </w:rPr>
      </w:pPr>
      <w:r w:rsidRPr="00C762D8">
        <w:rPr>
          <w:rFonts w:cs="Arial"/>
          <w:b/>
        </w:rPr>
        <w:t xml:space="preserve">Is there any issue if invoices </w:t>
      </w:r>
      <w:r w:rsidRPr="00C762D8">
        <w:rPr>
          <w:rFonts w:cs="Arial"/>
          <w:b/>
        </w:rPr>
        <w:t xml:space="preserve">are submitted past the invoice due date? </w:t>
      </w:r>
    </w:p>
    <w:p w14:paraId="3D0C4981" w14:textId="016F3261" w:rsidR="00A2005B" w:rsidRDefault="00A2005B" w:rsidP="00091B43">
      <w:pPr>
        <w:pStyle w:val="ListParagraph"/>
        <w:spacing w:before="0" w:after="0"/>
        <w:jc w:val="both"/>
        <w:rPr>
          <w:rFonts w:cs="Arial"/>
        </w:rPr>
      </w:pPr>
      <w:r w:rsidRPr="009B262F">
        <w:rPr>
          <w:rFonts w:cs="Arial"/>
        </w:rPr>
        <w:t xml:space="preserve">It is the BSCC’s expectation that invoices </w:t>
      </w:r>
      <w:r w:rsidR="00E3758C">
        <w:rPr>
          <w:rFonts w:cs="Arial"/>
        </w:rPr>
        <w:t>are</w:t>
      </w:r>
      <w:r w:rsidR="00E3758C" w:rsidRPr="009B262F">
        <w:rPr>
          <w:rFonts w:cs="Arial"/>
        </w:rPr>
        <w:t xml:space="preserve"> </w:t>
      </w:r>
      <w:r w:rsidRPr="009B262F">
        <w:rPr>
          <w:rFonts w:cs="Arial"/>
        </w:rPr>
        <w:t xml:space="preserve">submitted by the due dates included in the grant agreement. If a barrier to this timely submission arises, the grantee must contact the Field Representative. </w:t>
      </w:r>
    </w:p>
    <w:p w14:paraId="1B6CBDF8" w14:textId="77777777" w:rsidR="00A2005B" w:rsidRPr="009B262F" w:rsidRDefault="00A2005B" w:rsidP="00091B43">
      <w:pPr>
        <w:pStyle w:val="ListParagraph"/>
        <w:spacing w:before="0" w:after="0"/>
        <w:jc w:val="both"/>
        <w:rPr>
          <w:rFonts w:cs="Arial"/>
        </w:rPr>
      </w:pPr>
    </w:p>
    <w:p w14:paraId="35C0A059" w14:textId="77777777" w:rsidR="00A2005B" w:rsidRDefault="00A2005B" w:rsidP="00091B43">
      <w:pPr>
        <w:pStyle w:val="ListParagraph"/>
        <w:numPr>
          <w:ilvl w:val="0"/>
          <w:numId w:val="29"/>
        </w:numPr>
        <w:spacing w:before="0" w:after="0"/>
        <w:jc w:val="both"/>
        <w:rPr>
          <w:rFonts w:cs="Arial"/>
          <w:b/>
        </w:rPr>
      </w:pPr>
      <w:r w:rsidRPr="00C762D8">
        <w:rPr>
          <w:rFonts w:cs="Arial"/>
          <w:b/>
        </w:rPr>
        <w:t>Are our non-profit partners required to keep their own documentation in house or are they required to submit to their county agency</w:t>
      </w:r>
      <w:r w:rsidRPr="00C762D8">
        <w:rPr>
          <w:rFonts w:cs="Arial"/>
          <w:b/>
        </w:rPr>
        <w:t xml:space="preserve">? </w:t>
      </w:r>
    </w:p>
    <w:p w14:paraId="39D43439" w14:textId="77777777" w:rsidR="00A2005B" w:rsidRDefault="00A2005B" w:rsidP="00091B43">
      <w:pPr>
        <w:pStyle w:val="ListParagraph"/>
        <w:spacing w:before="0" w:after="0"/>
        <w:jc w:val="both"/>
        <w:rPr>
          <w:rFonts w:cs="Arial"/>
        </w:rPr>
      </w:pPr>
      <w:r w:rsidRPr="009B262F">
        <w:rPr>
          <w:rFonts w:cs="Arial"/>
        </w:rPr>
        <w:t>The grantee, or designated lead public agency, should follow their local policies and procedures.</w:t>
      </w:r>
    </w:p>
    <w:p w14:paraId="1CE449E6" w14:textId="77777777" w:rsidR="00A2005B" w:rsidRPr="009B262F" w:rsidRDefault="00A2005B" w:rsidP="00091B43">
      <w:pPr>
        <w:pStyle w:val="ListParagraph"/>
        <w:spacing w:before="0" w:after="0"/>
        <w:jc w:val="both"/>
        <w:rPr>
          <w:rFonts w:cs="Arial"/>
        </w:rPr>
      </w:pPr>
    </w:p>
    <w:p w14:paraId="7CF3B233" w14:textId="77777777" w:rsidR="00A2005B" w:rsidRDefault="00A2005B" w:rsidP="00091B43">
      <w:pPr>
        <w:pStyle w:val="ListParagraph"/>
        <w:numPr>
          <w:ilvl w:val="0"/>
          <w:numId w:val="29"/>
        </w:numPr>
        <w:spacing w:before="0" w:after="0"/>
        <w:jc w:val="both"/>
        <w:rPr>
          <w:rFonts w:cs="Arial"/>
          <w:b/>
        </w:rPr>
      </w:pPr>
      <w:r w:rsidRPr="00C762D8">
        <w:rPr>
          <w:rFonts w:cs="Arial"/>
          <w:b/>
        </w:rPr>
        <w:t xml:space="preserve">Should we expect an on-site monitoring visit, and will we be given time to prepare for this visit? </w:t>
      </w:r>
    </w:p>
    <w:p w14:paraId="2C0850D4" w14:textId="77777777" w:rsidR="00A2005B" w:rsidRDefault="00A2005B" w:rsidP="00091B43">
      <w:pPr>
        <w:pStyle w:val="ListParagraph"/>
        <w:spacing w:before="0" w:after="0"/>
        <w:jc w:val="both"/>
        <w:rPr>
          <w:rFonts w:cs="Arial"/>
        </w:rPr>
      </w:pPr>
      <w:r w:rsidRPr="009B262F">
        <w:rPr>
          <w:rFonts w:cs="Arial"/>
        </w:rPr>
        <w:t>Yes. Every grantee should expect an initial site visit during the first year of their project. After that, each grantee can expect at least one comprehensive monitoring visit during the remaining grant term. The Field Representative will coordinate all site visits with the identified Project Director and advance notice will be provided.</w:t>
      </w:r>
    </w:p>
    <w:p w14:paraId="5611AA0F" w14:textId="2AF21760" w:rsidR="00091B43" w:rsidRDefault="00091B43">
      <w:pPr>
        <w:spacing w:before="0" w:after="200" w:line="276" w:lineRule="auto"/>
        <w:rPr>
          <w:rFonts w:cs="Arial"/>
        </w:rPr>
      </w:pPr>
      <w:r>
        <w:rPr>
          <w:rFonts w:cs="Arial"/>
        </w:rPr>
        <w:br w:type="page"/>
      </w:r>
    </w:p>
    <w:p w14:paraId="24779611" w14:textId="77777777" w:rsidR="00A2005B" w:rsidRPr="009B262F" w:rsidRDefault="00A2005B" w:rsidP="00091B43">
      <w:pPr>
        <w:pStyle w:val="ListParagraph"/>
        <w:spacing w:before="0" w:after="0"/>
        <w:jc w:val="both"/>
        <w:rPr>
          <w:rFonts w:cs="Arial"/>
        </w:rPr>
      </w:pPr>
    </w:p>
    <w:p w14:paraId="7EB5E181" w14:textId="77777777" w:rsidR="00A2005B" w:rsidRPr="008C7954" w:rsidRDefault="00A2005B" w:rsidP="00091B43">
      <w:pPr>
        <w:pStyle w:val="ListParagraph"/>
        <w:numPr>
          <w:ilvl w:val="0"/>
          <w:numId w:val="29"/>
        </w:numPr>
        <w:spacing w:before="0" w:after="0"/>
        <w:jc w:val="both"/>
        <w:rPr>
          <w:rFonts w:cs="Arial"/>
          <w:b/>
          <w:szCs w:val="24"/>
        </w:rPr>
      </w:pPr>
      <w:r>
        <w:rPr>
          <w:rFonts w:cs="Arial"/>
          <w:b/>
          <w:szCs w:val="24"/>
        </w:rPr>
        <w:t>Can t</w:t>
      </w:r>
      <w:r w:rsidRPr="008C7954">
        <w:rPr>
          <w:rFonts w:cs="Arial"/>
          <w:b/>
          <w:szCs w:val="24"/>
        </w:rPr>
        <w:t xml:space="preserve">he Project Director be from the CBO? </w:t>
      </w:r>
    </w:p>
    <w:p w14:paraId="22990CD3" w14:textId="77777777" w:rsidR="00A2005B" w:rsidRDefault="00A2005B" w:rsidP="00091B43">
      <w:pPr>
        <w:spacing w:before="0" w:after="0"/>
        <w:ind w:left="720"/>
        <w:contextualSpacing/>
        <w:jc w:val="both"/>
        <w:rPr>
          <w:rFonts w:cs="Arial"/>
          <w:szCs w:val="24"/>
        </w:rPr>
      </w:pPr>
      <w:r w:rsidRPr="00F70F22">
        <w:rPr>
          <w:rFonts w:cs="Arial"/>
          <w:szCs w:val="24"/>
        </w:rPr>
        <w:t xml:space="preserve">The Project Director </w:t>
      </w:r>
      <w:r>
        <w:rPr>
          <w:rFonts w:cs="Arial"/>
          <w:szCs w:val="24"/>
        </w:rPr>
        <w:t xml:space="preserve">and the Financial Officer need to be employees of either the grantee or the Lead Public Agency. The day to day contacts can be from the Community Based Organization. </w:t>
      </w:r>
    </w:p>
    <w:p w14:paraId="648DB0F9" w14:textId="77777777" w:rsidR="00A2005B" w:rsidRPr="00F70F22" w:rsidRDefault="00A2005B" w:rsidP="00091B43">
      <w:pPr>
        <w:spacing w:before="0" w:after="0"/>
        <w:contextualSpacing/>
        <w:jc w:val="both"/>
        <w:rPr>
          <w:rFonts w:cs="Arial"/>
          <w:szCs w:val="24"/>
        </w:rPr>
      </w:pPr>
    </w:p>
    <w:p w14:paraId="2ACB34BF" w14:textId="77777777" w:rsidR="00A2005B" w:rsidRDefault="00A2005B" w:rsidP="00091B43">
      <w:pPr>
        <w:spacing w:before="0" w:after="0"/>
        <w:contextualSpacing/>
        <w:jc w:val="both"/>
        <w:rPr>
          <w:rFonts w:cs="Arial"/>
          <w:u w:val="single"/>
        </w:rPr>
      </w:pPr>
    </w:p>
    <w:p w14:paraId="50B359A1" w14:textId="77777777" w:rsidR="00A2005B" w:rsidRPr="009B262F" w:rsidRDefault="00A2005B" w:rsidP="00091B43">
      <w:pPr>
        <w:spacing w:before="0" w:after="0"/>
        <w:contextualSpacing/>
        <w:jc w:val="both"/>
        <w:rPr>
          <w:rFonts w:cs="Arial"/>
          <w:b/>
        </w:rPr>
      </w:pPr>
      <w:bookmarkStart w:id="4" w:name="_Hlk23244395"/>
      <w:r w:rsidRPr="009B262F">
        <w:rPr>
          <w:rFonts w:cs="Arial"/>
          <w:b/>
        </w:rPr>
        <w:t>Data Collection &amp; Evaluation</w:t>
      </w:r>
    </w:p>
    <w:bookmarkEnd w:id="4"/>
    <w:p w14:paraId="0B8251F4" w14:textId="77777777" w:rsidR="00A2005B" w:rsidRPr="005001DE" w:rsidRDefault="00A2005B" w:rsidP="00091B43">
      <w:pPr>
        <w:spacing w:before="0" w:after="0"/>
        <w:contextualSpacing/>
        <w:jc w:val="both"/>
        <w:rPr>
          <w:rFonts w:cs="Arial"/>
          <w:u w:val="single"/>
        </w:rPr>
      </w:pPr>
    </w:p>
    <w:p w14:paraId="218EB6AA" w14:textId="0677DD49" w:rsidR="00A2005B" w:rsidRPr="005001DE" w:rsidRDefault="00630D09" w:rsidP="00091B43">
      <w:pPr>
        <w:numPr>
          <w:ilvl w:val="0"/>
          <w:numId w:val="29"/>
        </w:numPr>
        <w:spacing w:before="0" w:after="0"/>
        <w:contextualSpacing/>
        <w:jc w:val="both"/>
        <w:rPr>
          <w:rFonts w:cs="Arial"/>
          <w:b/>
          <w:bCs/>
        </w:rPr>
      </w:pPr>
      <w:r>
        <w:rPr>
          <w:rFonts w:cs="Arial"/>
          <w:b/>
          <w:bCs/>
        </w:rPr>
        <w:t>Do the Local Evaluation Plan (LEP) handouts describe what is required in the LEP?</w:t>
      </w:r>
    </w:p>
    <w:p w14:paraId="7B0253FF" w14:textId="77777777" w:rsidR="00A2005B" w:rsidRPr="005001DE" w:rsidRDefault="00A2005B" w:rsidP="00091B43">
      <w:pPr>
        <w:spacing w:before="0" w:after="0"/>
        <w:ind w:left="720"/>
        <w:contextualSpacing/>
        <w:jc w:val="both"/>
        <w:rPr>
          <w:rFonts w:cs="Arial"/>
        </w:rPr>
      </w:pPr>
      <w:r w:rsidRPr="005001DE">
        <w:rPr>
          <w:rFonts w:cs="Arial"/>
        </w:rPr>
        <w:t>Yes; the handout titled “</w:t>
      </w:r>
      <w:bookmarkStart w:id="5" w:name="_Hlk23494210"/>
      <w:r w:rsidRPr="005001DE">
        <w:rPr>
          <w:rFonts w:cs="Arial"/>
        </w:rPr>
        <w:t>Youth Reinvestment Grant Program, Cohort 1 Local Evaluation Plan</w:t>
      </w:r>
      <w:bookmarkEnd w:id="5"/>
      <w:r w:rsidRPr="005001DE">
        <w:rPr>
          <w:rFonts w:cs="Arial"/>
        </w:rPr>
        <w:t>” inside the Data Collection &amp; Evaluation Tab in your binder provides guidelines for the minimum content that should be included in your LEP.</w:t>
      </w:r>
    </w:p>
    <w:p w14:paraId="235D5F57" w14:textId="77777777" w:rsidR="00A2005B" w:rsidRPr="005001DE" w:rsidRDefault="00A2005B" w:rsidP="00091B43">
      <w:pPr>
        <w:spacing w:before="0" w:after="0"/>
        <w:contextualSpacing/>
        <w:jc w:val="both"/>
        <w:rPr>
          <w:rFonts w:cs="Arial"/>
        </w:rPr>
      </w:pPr>
    </w:p>
    <w:p w14:paraId="501F5044" w14:textId="69E078A4" w:rsidR="00A2005B" w:rsidRPr="005001DE" w:rsidRDefault="00A2005B" w:rsidP="00091B43">
      <w:pPr>
        <w:numPr>
          <w:ilvl w:val="0"/>
          <w:numId w:val="29"/>
        </w:numPr>
        <w:spacing w:before="0" w:after="0"/>
        <w:contextualSpacing/>
        <w:jc w:val="both"/>
        <w:rPr>
          <w:rFonts w:cs="Arial"/>
          <w:b/>
          <w:bCs/>
        </w:rPr>
      </w:pPr>
      <w:r w:rsidRPr="005001DE">
        <w:rPr>
          <w:rFonts w:cs="Arial"/>
          <w:b/>
          <w:bCs/>
        </w:rPr>
        <w:t xml:space="preserve">Is there a sample of </w:t>
      </w:r>
      <w:r>
        <w:rPr>
          <w:rFonts w:cs="Arial"/>
          <w:b/>
          <w:bCs/>
        </w:rPr>
        <w:t>a</w:t>
      </w:r>
      <w:r w:rsidRPr="005001DE">
        <w:rPr>
          <w:rFonts w:cs="Arial"/>
          <w:b/>
          <w:bCs/>
        </w:rPr>
        <w:t xml:space="preserve"> good LEP in the materials? .</w:t>
      </w:r>
    </w:p>
    <w:p w14:paraId="5C571B5D" w14:textId="683B05B9" w:rsidR="00A2005B" w:rsidRPr="005001DE" w:rsidRDefault="00C60E46" w:rsidP="00091B43">
      <w:pPr>
        <w:spacing w:before="0" w:after="0"/>
        <w:ind w:left="720"/>
        <w:contextualSpacing/>
        <w:jc w:val="both"/>
        <w:rPr>
          <w:rFonts w:cs="Arial"/>
        </w:rPr>
      </w:pPr>
      <w:r>
        <w:rPr>
          <w:rFonts w:cs="Arial"/>
        </w:rPr>
        <w:t>The grantee orientation binders do not contain</w:t>
      </w:r>
      <w:r w:rsidR="00A2005B" w:rsidRPr="005001DE">
        <w:rPr>
          <w:rFonts w:cs="Arial"/>
        </w:rPr>
        <w:t xml:space="preserve"> a sample of a completed LEP, however we do have guidelines (referenced above) as well as a page on our website (</w:t>
      </w:r>
      <w:hyperlink r:id="rId9" w:history="1">
        <w:r w:rsidR="00A2005B" w:rsidRPr="005001DE">
          <w:rPr>
            <w:rStyle w:val="Hyperlink"/>
            <w:rFonts w:cs="Arial"/>
          </w:rPr>
          <w:t>http://www.bscc.ca.gov/s_evaluationresources/</w:t>
        </w:r>
      </w:hyperlink>
      <w:r w:rsidR="00A2005B" w:rsidRPr="005001DE">
        <w:rPr>
          <w:rFonts w:cs="Arial"/>
        </w:rPr>
        <w:t>) with resources selected to help with your evaluations. There are a couple that are specifically targeted toward writing the evaluations (under the “Program Evaluation Articles” section).</w:t>
      </w:r>
      <w:r w:rsidR="00A2005B">
        <w:rPr>
          <w:rFonts w:cs="Arial"/>
        </w:rPr>
        <w:t xml:space="preserve"> </w:t>
      </w:r>
      <w:r>
        <w:rPr>
          <w:rFonts w:cs="Arial"/>
        </w:rPr>
        <w:t xml:space="preserve">In addition, there are LEPs that were submitted by grantees in other programs posted on our website. An example of this is Prop 47, which is at </w:t>
      </w:r>
      <w:hyperlink r:id="rId10" w:history="1">
        <w:r w:rsidRPr="00C60E46">
          <w:rPr>
            <w:rStyle w:val="Hyperlink"/>
            <w:rFonts w:cs="Arial"/>
          </w:rPr>
          <w:t>http://www.bscc.ca.gov/s_bsccprop47/</w:t>
        </w:r>
      </w:hyperlink>
      <w:r>
        <w:rPr>
          <w:rFonts w:cs="Arial"/>
        </w:rPr>
        <w:t xml:space="preserve"> (see Cohort 1).</w:t>
      </w:r>
    </w:p>
    <w:p w14:paraId="14C1B6C0" w14:textId="77777777" w:rsidR="00A2005B" w:rsidRPr="005001DE" w:rsidRDefault="00A2005B" w:rsidP="00091B43">
      <w:pPr>
        <w:spacing w:before="0" w:after="0"/>
        <w:contextualSpacing/>
        <w:jc w:val="both"/>
        <w:rPr>
          <w:rFonts w:cs="Arial"/>
        </w:rPr>
      </w:pPr>
    </w:p>
    <w:p w14:paraId="668C8FCE" w14:textId="77777777" w:rsidR="00A2005B" w:rsidRPr="005001DE" w:rsidRDefault="00A2005B" w:rsidP="00091B43">
      <w:pPr>
        <w:numPr>
          <w:ilvl w:val="0"/>
          <w:numId w:val="29"/>
        </w:numPr>
        <w:spacing w:before="0" w:after="0"/>
        <w:contextualSpacing/>
        <w:jc w:val="both"/>
        <w:rPr>
          <w:rFonts w:cs="Arial"/>
          <w:b/>
          <w:bCs/>
        </w:rPr>
      </w:pPr>
      <w:r w:rsidRPr="005001DE">
        <w:rPr>
          <w:rFonts w:cs="Arial"/>
          <w:b/>
          <w:bCs/>
        </w:rPr>
        <w:t>On the data source instruments, should we have these developed by now?</w:t>
      </w:r>
    </w:p>
    <w:p w14:paraId="3975CA8C" w14:textId="77777777" w:rsidR="00A2005B" w:rsidRPr="005001DE" w:rsidRDefault="00A2005B" w:rsidP="00091B43">
      <w:pPr>
        <w:spacing w:before="0" w:after="0"/>
        <w:ind w:left="720"/>
        <w:contextualSpacing/>
        <w:jc w:val="both"/>
        <w:rPr>
          <w:rFonts w:cs="Arial"/>
        </w:rPr>
      </w:pPr>
      <w:r w:rsidRPr="005001DE">
        <w:rPr>
          <w:rFonts w:cs="Arial"/>
        </w:rPr>
        <w:t>It depends on where you are in the implementation of your project. Ideally</w:t>
      </w:r>
      <w:r>
        <w:rPr>
          <w:rFonts w:cs="Arial"/>
        </w:rPr>
        <w:t>,</w:t>
      </w:r>
      <w:r w:rsidRPr="005001DE">
        <w:rPr>
          <w:rFonts w:cs="Arial"/>
        </w:rPr>
        <w:t xml:space="preserve"> they should be in place before enrolling participants. Preferably by now, you would have a plan in place regarding what variables you </w:t>
      </w:r>
      <w:r w:rsidRPr="005001DE">
        <w:rPr>
          <w:rFonts w:cs="Arial"/>
          <w:i/>
          <w:iCs/>
        </w:rPr>
        <w:t>want</w:t>
      </w:r>
      <w:r w:rsidRPr="005001DE">
        <w:rPr>
          <w:rFonts w:cs="Arial"/>
        </w:rPr>
        <w:t xml:space="preserve"> to measure. Depending on the implementation status of your project, fully-developed instruments may still be in draft</w:t>
      </w:r>
      <w:r>
        <w:rPr>
          <w:rFonts w:cs="Arial"/>
        </w:rPr>
        <w:t xml:space="preserve"> form</w:t>
      </w:r>
      <w:r w:rsidRPr="005001DE">
        <w:rPr>
          <w:rFonts w:cs="Arial"/>
        </w:rPr>
        <w:t>. That being said, you should discuss the variables you’re going to measure in your LEP as well as show us they can be measured and describe the way in which you plan to measure them.</w:t>
      </w:r>
    </w:p>
    <w:p w14:paraId="76E8283C" w14:textId="77777777" w:rsidR="00A2005B" w:rsidRPr="005001DE" w:rsidRDefault="00A2005B" w:rsidP="00091B43">
      <w:pPr>
        <w:spacing w:before="0" w:after="0"/>
        <w:contextualSpacing/>
        <w:jc w:val="both"/>
        <w:rPr>
          <w:rFonts w:cs="Arial"/>
        </w:rPr>
      </w:pPr>
    </w:p>
    <w:p w14:paraId="4E00D198" w14:textId="77777777" w:rsidR="00A2005B" w:rsidRPr="005001DE" w:rsidRDefault="00A2005B" w:rsidP="00091B43">
      <w:pPr>
        <w:numPr>
          <w:ilvl w:val="0"/>
          <w:numId w:val="29"/>
        </w:numPr>
        <w:spacing w:before="0" w:after="0"/>
        <w:contextualSpacing/>
        <w:jc w:val="both"/>
        <w:rPr>
          <w:rFonts w:cs="Arial"/>
          <w:b/>
          <w:bCs/>
        </w:rPr>
      </w:pPr>
      <w:bookmarkStart w:id="6" w:name="_Hlk23493527"/>
      <w:r w:rsidRPr="005001DE">
        <w:rPr>
          <w:rFonts w:cs="Arial"/>
          <w:b/>
          <w:bCs/>
        </w:rPr>
        <w:t>After submitting the LEP, can we expect BSCC feedback or questions?</w:t>
      </w:r>
    </w:p>
    <w:p w14:paraId="08CF0783" w14:textId="7E48D9B1" w:rsidR="00A2005B" w:rsidRPr="005001DE" w:rsidRDefault="000209B4" w:rsidP="00091B43">
      <w:pPr>
        <w:spacing w:before="0" w:after="0"/>
        <w:contextualSpacing/>
        <w:jc w:val="both"/>
        <w:rPr>
          <w:rFonts w:cs="Arial"/>
        </w:rPr>
      </w:pPr>
      <w:r w:rsidRPr="000209B4">
        <w:rPr>
          <w:rFonts w:cs="Arial"/>
        </w:rPr>
        <w:t xml:space="preserve">The BSCC reviews each LEP for content and clarity.  If necessary, the BSCC may contact the project director/grant contacts with feedback and/or questions. </w:t>
      </w:r>
      <w:bookmarkEnd w:id="6"/>
    </w:p>
    <w:p w14:paraId="095FEBFC" w14:textId="77777777" w:rsidR="00A2005B" w:rsidRPr="005001DE" w:rsidRDefault="00A2005B" w:rsidP="00091B43">
      <w:pPr>
        <w:numPr>
          <w:ilvl w:val="0"/>
          <w:numId w:val="29"/>
        </w:numPr>
        <w:spacing w:before="0" w:after="0"/>
        <w:contextualSpacing/>
        <w:jc w:val="both"/>
        <w:rPr>
          <w:rFonts w:cs="Arial"/>
          <w:b/>
          <w:bCs/>
        </w:rPr>
      </w:pPr>
      <w:r w:rsidRPr="005001DE">
        <w:rPr>
          <w:rFonts w:cs="Arial"/>
          <w:b/>
          <w:bCs/>
        </w:rPr>
        <w:t>If we need to make changes to the LEP during the course of the project, do we need to notify BSCC?</w:t>
      </w:r>
    </w:p>
    <w:p w14:paraId="3FECC949" w14:textId="420C069D" w:rsidR="00A2005B" w:rsidRPr="005001DE" w:rsidRDefault="000209B4" w:rsidP="00091B43">
      <w:pPr>
        <w:spacing w:before="0" w:after="0"/>
        <w:ind w:left="720"/>
        <w:contextualSpacing/>
        <w:jc w:val="both"/>
        <w:rPr>
          <w:rFonts w:cs="Arial"/>
        </w:rPr>
      </w:pPr>
      <w:r w:rsidRPr="005001DE">
        <w:rPr>
          <w:rFonts w:cs="Arial"/>
        </w:rPr>
        <w:t>Yes</w:t>
      </w:r>
      <w:r>
        <w:rPr>
          <w:rFonts w:cs="Arial"/>
        </w:rPr>
        <w:t>. Contact your Field Representative before making changes</w:t>
      </w:r>
      <w:r w:rsidR="00A2005B" w:rsidRPr="005001DE">
        <w:rPr>
          <w:rFonts w:cs="Arial"/>
        </w:rPr>
        <w:t xml:space="preserve"> to your LEP. For the most part, these documents should stay the same throughout the life of your project, but if a minor change needs to be made contact </w:t>
      </w:r>
      <w:r w:rsidR="00A2005B">
        <w:rPr>
          <w:rFonts w:cs="Arial"/>
        </w:rPr>
        <w:t>the Field Representative</w:t>
      </w:r>
      <w:r w:rsidR="00A2005B" w:rsidRPr="005001DE">
        <w:rPr>
          <w:rFonts w:cs="Arial"/>
        </w:rPr>
        <w:t xml:space="preserve"> and walk us through the necessary adjustments.</w:t>
      </w:r>
    </w:p>
    <w:p w14:paraId="79F2CBD5" w14:textId="77777777" w:rsidR="00A2005B" w:rsidRPr="005001DE" w:rsidRDefault="00A2005B" w:rsidP="00091B43">
      <w:pPr>
        <w:spacing w:before="0" w:after="0"/>
        <w:contextualSpacing/>
        <w:jc w:val="both"/>
        <w:rPr>
          <w:rFonts w:cs="Arial"/>
        </w:rPr>
      </w:pPr>
    </w:p>
    <w:p w14:paraId="7282B42B" w14:textId="77777777" w:rsidR="00A2005B" w:rsidRPr="005001DE" w:rsidRDefault="00A2005B" w:rsidP="00091B43">
      <w:pPr>
        <w:numPr>
          <w:ilvl w:val="0"/>
          <w:numId w:val="29"/>
        </w:numPr>
        <w:spacing w:before="0" w:after="0"/>
        <w:contextualSpacing/>
        <w:jc w:val="both"/>
        <w:rPr>
          <w:rFonts w:cs="Arial"/>
          <w:b/>
          <w:bCs/>
        </w:rPr>
      </w:pPr>
      <w:bookmarkStart w:id="7" w:name="_Hlk23494628"/>
      <w:r w:rsidRPr="005001DE">
        <w:rPr>
          <w:rFonts w:cs="Arial"/>
          <w:b/>
          <w:bCs/>
        </w:rPr>
        <w:t>Given the amount of time it takes to develop and put out an RFP to hire an outside evaluator, do you have any thoughts about timing in terms of keeping this project on track while this process is going on?</w:t>
      </w:r>
    </w:p>
    <w:p w14:paraId="4D2E3DAF" w14:textId="6266880E" w:rsidR="005D7688" w:rsidRDefault="005D7688" w:rsidP="00091B43">
      <w:pPr>
        <w:spacing w:before="0" w:after="0"/>
        <w:ind w:left="720"/>
        <w:contextualSpacing/>
        <w:jc w:val="both"/>
        <w:rPr>
          <w:rFonts w:cs="Arial"/>
        </w:rPr>
      </w:pPr>
      <w:r w:rsidRPr="005D7688">
        <w:rPr>
          <w:rFonts w:cs="Arial"/>
        </w:rPr>
        <w:t xml:space="preserve">Please make all efforts to have an evaluator in place once the project begins. In the interim, consider keeping detailed records of any data and program decisions that might be helpful for the evaluator to know. This could include decisions regarding the quarterly report information that is provided to the BSCC, any </w:t>
      </w:r>
      <w:r w:rsidRPr="005D7688">
        <w:rPr>
          <w:rFonts w:cs="Arial"/>
        </w:rPr>
        <w:lastRenderedPageBreak/>
        <w:t>surveys that are used to collect information from participants, any</w:t>
      </w:r>
      <w:r w:rsidR="001747F5">
        <w:rPr>
          <w:rFonts w:cs="Arial"/>
        </w:rPr>
        <w:t xml:space="preserve"> MOUs or</w:t>
      </w:r>
      <w:r w:rsidRPr="005D7688">
        <w:rPr>
          <w:rFonts w:cs="Arial"/>
        </w:rPr>
        <w:t xml:space="preserve"> data sharing agreements that may be generated, etc.</w:t>
      </w:r>
    </w:p>
    <w:p w14:paraId="1B46D753" w14:textId="635EF6C8" w:rsidR="00A2005B" w:rsidRPr="005001DE" w:rsidRDefault="00A2005B" w:rsidP="00091B43">
      <w:pPr>
        <w:spacing w:before="0" w:after="0"/>
        <w:ind w:left="720"/>
        <w:contextualSpacing/>
        <w:jc w:val="both"/>
        <w:rPr>
          <w:rFonts w:cs="Arial"/>
        </w:rPr>
      </w:pPr>
      <w:r w:rsidRPr="005001DE">
        <w:rPr>
          <w:rFonts w:cs="Arial"/>
        </w:rPr>
        <w:t>We understand any plans or materials made in support of data collection may need to be modified once you have an evaluator on board, but that is preferable compared to delaying all work on these materials until after the project has started and participants have already been enrolled.</w:t>
      </w:r>
    </w:p>
    <w:bookmarkEnd w:id="7"/>
    <w:p w14:paraId="07BF4ED1" w14:textId="77777777" w:rsidR="00A2005B" w:rsidRPr="005001DE" w:rsidRDefault="00A2005B" w:rsidP="00091B43">
      <w:pPr>
        <w:spacing w:before="0" w:after="0"/>
        <w:contextualSpacing/>
        <w:jc w:val="both"/>
        <w:rPr>
          <w:rFonts w:cs="Arial"/>
        </w:rPr>
      </w:pPr>
    </w:p>
    <w:p w14:paraId="513F5C3A" w14:textId="77777777" w:rsidR="00A2005B" w:rsidRPr="005001DE" w:rsidRDefault="00A2005B" w:rsidP="00091B43">
      <w:pPr>
        <w:numPr>
          <w:ilvl w:val="0"/>
          <w:numId w:val="29"/>
        </w:numPr>
        <w:spacing w:before="0" w:after="0"/>
        <w:contextualSpacing/>
        <w:jc w:val="both"/>
        <w:rPr>
          <w:rFonts w:cs="Arial"/>
          <w:b/>
          <w:bCs/>
        </w:rPr>
      </w:pPr>
      <w:r w:rsidRPr="005001DE">
        <w:rPr>
          <w:rFonts w:cs="Arial"/>
          <w:b/>
          <w:bCs/>
        </w:rPr>
        <w:t>Are there any performance data collection due on a quarterly basis, i.e., how many people seen?</w:t>
      </w:r>
    </w:p>
    <w:p w14:paraId="06C1EEAC" w14:textId="77777777" w:rsidR="00A2005B" w:rsidRPr="005001DE" w:rsidRDefault="00A2005B" w:rsidP="00091B43">
      <w:pPr>
        <w:spacing w:before="0" w:after="0"/>
        <w:ind w:left="720"/>
        <w:contextualSpacing/>
        <w:jc w:val="both"/>
        <w:rPr>
          <w:rFonts w:cs="Arial"/>
        </w:rPr>
      </w:pPr>
      <w:r w:rsidRPr="005001DE">
        <w:rPr>
          <w:rFonts w:cs="Arial"/>
        </w:rPr>
        <w:t>Yes</w:t>
      </w:r>
      <w:r>
        <w:rPr>
          <w:rFonts w:cs="Arial"/>
        </w:rPr>
        <w:t xml:space="preserve">. These data </w:t>
      </w:r>
      <w:r w:rsidRPr="005001DE">
        <w:rPr>
          <w:rFonts w:cs="Arial"/>
        </w:rPr>
        <w:t xml:space="preserve">will be collected in your Quarterly Progress Report </w:t>
      </w:r>
      <w:r>
        <w:rPr>
          <w:rFonts w:cs="Arial"/>
        </w:rPr>
        <w:t>but are not</w:t>
      </w:r>
      <w:r w:rsidRPr="005001DE">
        <w:rPr>
          <w:rFonts w:cs="Arial"/>
        </w:rPr>
        <w:t xml:space="preserve"> included in your LEPs</w:t>
      </w:r>
      <w:r>
        <w:rPr>
          <w:rFonts w:cs="Arial"/>
        </w:rPr>
        <w:t>.</w:t>
      </w:r>
    </w:p>
    <w:p w14:paraId="58EDE88B" w14:textId="77777777" w:rsidR="00A2005B" w:rsidRPr="005001DE" w:rsidRDefault="00A2005B" w:rsidP="00091B43">
      <w:pPr>
        <w:spacing w:before="0" w:after="0"/>
        <w:contextualSpacing/>
        <w:jc w:val="both"/>
        <w:rPr>
          <w:rFonts w:cs="Arial"/>
        </w:rPr>
      </w:pPr>
    </w:p>
    <w:p w14:paraId="39FEEED8" w14:textId="77777777" w:rsidR="00A2005B" w:rsidRPr="003451DA" w:rsidRDefault="00A2005B" w:rsidP="00091B43">
      <w:pPr>
        <w:numPr>
          <w:ilvl w:val="0"/>
          <w:numId w:val="29"/>
        </w:numPr>
        <w:spacing w:before="0" w:after="0"/>
        <w:contextualSpacing/>
        <w:jc w:val="both"/>
        <w:rPr>
          <w:rFonts w:cs="Arial"/>
          <w:b/>
        </w:rPr>
      </w:pPr>
      <w:bookmarkStart w:id="8" w:name="_Hlk23497529"/>
      <w:r w:rsidRPr="003451DA">
        <w:rPr>
          <w:rFonts w:cs="Arial"/>
          <w:b/>
        </w:rPr>
        <w:t xml:space="preserve">Is there a </w:t>
      </w:r>
      <w:bookmarkStart w:id="9" w:name="_Hlk23497490"/>
      <w:r w:rsidRPr="003451DA">
        <w:rPr>
          <w:rFonts w:cs="Arial"/>
          <w:b/>
        </w:rPr>
        <w:t>quarterly report template</w:t>
      </w:r>
      <w:bookmarkEnd w:id="9"/>
      <w:r w:rsidRPr="003451DA">
        <w:rPr>
          <w:rFonts w:cs="Arial"/>
          <w:b/>
        </w:rPr>
        <w:t xml:space="preserve">? </w:t>
      </w:r>
    </w:p>
    <w:p w14:paraId="041D9FDA" w14:textId="46CA75A3" w:rsidR="00A2005B" w:rsidRPr="003451DA" w:rsidRDefault="00A2005B" w:rsidP="00EC33DE">
      <w:pPr>
        <w:spacing w:after="0"/>
        <w:ind w:left="720"/>
        <w:contextualSpacing/>
        <w:jc w:val="both"/>
        <w:rPr>
          <w:rFonts w:cs="Arial"/>
        </w:rPr>
      </w:pPr>
      <w:r w:rsidRPr="003451DA">
        <w:rPr>
          <w:rFonts w:cs="Arial"/>
        </w:rPr>
        <w:t>Yes</w:t>
      </w:r>
      <w:bookmarkStart w:id="10" w:name="_Hlk23497465"/>
      <w:r w:rsidRPr="003451DA">
        <w:rPr>
          <w:rFonts w:cs="Arial"/>
        </w:rPr>
        <w:t xml:space="preserve">. </w:t>
      </w:r>
      <w:r w:rsidR="00B34907">
        <w:rPr>
          <w:rFonts w:cs="Arial"/>
        </w:rPr>
        <w:t xml:space="preserve">YRG has a </w:t>
      </w:r>
      <w:r w:rsidR="00B34907" w:rsidRPr="009458A1">
        <w:rPr>
          <w:rFonts w:cs="Arial"/>
        </w:rPr>
        <w:t>quarterly report</w:t>
      </w:r>
      <w:r w:rsidR="00B34907">
        <w:rPr>
          <w:rFonts w:cs="Arial"/>
        </w:rPr>
        <w:t xml:space="preserve"> template</w:t>
      </w:r>
      <w:r w:rsidR="00C60E46">
        <w:rPr>
          <w:rFonts w:cs="Arial"/>
        </w:rPr>
        <w:t>, a draft of which was provided in your grantee orientation binders</w:t>
      </w:r>
      <w:r w:rsidR="0034022A">
        <w:rPr>
          <w:rFonts w:cs="Arial"/>
        </w:rPr>
        <w:t xml:space="preserve">. Once </w:t>
      </w:r>
      <w:r w:rsidR="00C60E46">
        <w:rPr>
          <w:rFonts w:cs="Arial"/>
        </w:rPr>
        <w:t xml:space="preserve">the statewide evaluator </w:t>
      </w:r>
      <w:r w:rsidR="0034022A">
        <w:rPr>
          <w:rFonts w:cs="Arial"/>
        </w:rPr>
        <w:t>has</w:t>
      </w:r>
      <w:r w:rsidR="00C60E46">
        <w:rPr>
          <w:rFonts w:cs="Arial"/>
        </w:rPr>
        <w:t xml:space="preserve"> finaliz</w:t>
      </w:r>
      <w:r w:rsidR="0034022A">
        <w:rPr>
          <w:rFonts w:cs="Arial"/>
        </w:rPr>
        <w:t xml:space="preserve">ed it, it will be provided to all grantees. </w:t>
      </w:r>
      <w:bookmarkEnd w:id="10"/>
    </w:p>
    <w:bookmarkEnd w:id="8"/>
    <w:p w14:paraId="7F8A1754" w14:textId="77777777" w:rsidR="00A2005B" w:rsidRPr="003451DA" w:rsidRDefault="00A2005B" w:rsidP="00091B43">
      <w:pPr>
        <w:spacing w:before="0" w:after="0"/>
        <w:ind w:left="720"/>
        <w:contextualSpacing/>
        <w:jc w:val="both"/>
        <w:rPr>
          <w:rFonts w:cs="Arial"/>
          <w:b/>
        </w:rPr>
      </w:pPr>
    </w:p>
    <w:p w14:paraId="6FADE700" w14:textId="77777777" w:rsidR="00A2005B" w:rsidRDefault="00A2005B" w:rsidP="00091B43">
      <w:pPr>
        <w:numPr>
          <w:ilvl w:val="0"/>
          <w:numId w:val="29"/>
        </w:numPr>
        <w:spacing w:before="0" w:after="0"/>
        <w:contextualSpacing/>
        <w:jc w:val="both"/>
        <w:rPr>
          <w:rFonts w:cs="Arial"/>
          <w:b/>
        </w:rPr>
      </w:pPr>
      <w:r w:rsidRPr="003451DA">
        <w:rPr>
          <w:rFonts w:cs="Arial"/>
          <w:b/>
        </w:rPr>
        <w:t xml:space="preserve">On the statewide logic model, under inputs it has leveraged funds and YRG funding are you measuring the impact of funding that is outside of YRG funds? </w:t>
      </w:r>
    </w:p>
    <w:p w14:paraId="7D83E401" w14:textId="77777777" w:rsidR="00A2005B" w:rsidRPr="003451DA" w:rsidRDefault="00A2005B" w:rsidP="00091B43">
      <w:pPr>
        <w:spacing w:before="0" w:after="0"/>
        <w:ind w:left="720"/>
        <w:contextualSpacing/>
        <w:jc w:val="both"/>
        <w:rPr>
          <w:rFonts w:cs="Arial"/>
          <w:b/>
        </w:rPr>
      </w:pPr>
      <w:r w:rsidRPr="003451DA">
        <w:rPr>
          <w:rFonts w:cs="Arial"/>
        </w:rPr>
        <w:t>No, we’re evaluating the impact of YRG as a whole, regardless of source of funding. It would be difficult to tease out the impact of the various sources of program inputs. It’s included in the logic model as acknowledgement of the leveraged funding sources</w:t>
      </w:r>
      <w:r>
        <w:rPr>
          <w:rFonts w:cs="Arial"/>
        </w:rPr>
        <w:t>.</w:t>
      </w:r>
    </w:p>
    <w:p w14:paraId="47CF080D" w14:textId="77777777" w:rsidR="00A2005B" w:rsidRPr="003451DA" w:rsidRDefault="00A2005B" w:rsidP="00091B43">
      <w:pPr>
        <w:spacing w:before="0" w:after="0"/>
        <w:ind w:left="720"/>
        <w:contextualSpacing/>
        <w:jc w:val="both"/>
        <w:rPr>
          <w:rFonts w:cs="Arial"/>
          <w:b/>
        </w:rPr>
      </w:pPr>
    </w:p>
    <w:p w14:paraId="6C74C724" w14:textId="77777777" w:rsidR="00A2005B" w:rsidRDefault="00A2005B" w:rsidP="00091B43">
      <w:pPr>
        <w:numPr>
          <w:ilvl w:val="0"/>
          <w:numId w:val="29"/>
        </w:numPr>
        <w:spacing w:before="0" w:after="0"/>
        <w:contextualSpacing/>
        <w:jc w:val="both"/>
        <w:rPr>
          <w:rFonts w:cs="Arial"/>
          <w:b/>
        </w:rPr>
      </w:pPr>
      <w:r>
        <w:rPr>
          <w:rFonts w:cs="Arial"/>
          <w:b/>
        </w:rPr>
        <w:t>Will you</w:t>
      </w:r>
      <w:r w:rsidRPr="003451DA">
        <w:rPr>
          <w:rFonts w:cs="Arial"/>
          <w:b/>
        </w:rPr>
        <w:t xml:space="preserve"> clarify the difference between duplicated and unduplicated clients</w:t>
      </w:r>
      <w:r>
        <w:rPr>
          <w:rFonts w:cs="Arial"/>
          <w:b/>
        </w:rPr>
        <w:t>?</w:t>
      </w:r>
      <w:r w:rsidRPr="003451DA">
        <w:rPr>
          <w:rFonts w:cs="Arial"/>
          <w:b/>
        </w:rPr>
        <w:t xml:space="preserve">  </w:t>
      </w:r>
    </w:p>
    <w:p w14:paraId="5708A9E9" w14:textId="77777777" w:rsidR="00A2005B" w:rsidRPr="003451DA" w:rsidRDefault="00A2005B" w:rsidP="00091B43">
      <w:pPr>
        <w:spacing w:before="0" w:after="0"/>
        <w:ind w:left="720"/>
        <w:contextualSpacing/>
        <w:jc w:val="both"/>
        <w:rPr>
          <w:rFonts w:cs="Arial"/>
        </w:rPr>
      </w:pPr>
      <w:r w:rsidRPr="003451DA">
        <w:rPr>
          <w:rFonts w:cs="Arial"/>
        </w:rPr>
        <w:t>The evaluator is looking in to ways in which to clarify this on the QPR.</w:t>
      </w:r>
    </w:p>
    <w:p w14:paraId="026B36FA" w14:textId="77777777" w:rsidR="00A2005B" w:rsidRPr="003451DA" w:rsidRDefault="00A2005B" w:rsidP="00091B43">
      <w:pPr>
        <w:spacing w:before="0" w:after="0"/>
        <w:ind w:left="720"/>
        <w:contextualSpacing/>
        <w:jc w:val="both"/>
        <w:rPr>
          <w:rFonts w:cs="Arial"/>
        </w:rPr>
      </w:pPr>
    </w:p>
    <w:p w14:paraId="429F1F8E" w14:textId="77777777" w:rsidR="00A2005B" w:rsidRDefault="00A2005B" w:rsidP="00091B43">
      <w:pPr>
        <w:numPr>
          <w:ilvl w:val="0"/>
          <w:numId w:val="29"/>
        </w:numPr>
        <w:spacing w:before="0" w:after="0"/>
        <w:contextualSpacing/>
        <w:jc w:val="both"/>
        <w:rPr>
          <w:rFonts w:cs="Arial"/>
          <w:b/>
        </w:rPr>
      </w:pPr>
      <w:r>
        <w:rPr>
          <w:rFonts w:cs="Arial"/>
          <w:b/>
        </w:rPr>
        <w:t>We d</w:t>
      </w:r>
      <w:r w:rsidRPr="003451DA">
        <w:rPr>
          <w:rFonts w:cs="Arial"/>
          <w:b/>
        </w:rPr>
        <w:t xml:space="preserve">o not see the question on whether clients are participating voluntarily or mandatory, has this question been dropped?  </w:t>
      </w:r>
      <w:r>
        <w:rPr>
          <w:rFonts w:cs="Arial"/>
          <w:b/>
        </w:rPr>
        <w:t>It w</w:t>
      </w:r>
      <w:r w:rsidRPr="003451DA">
        <w:rPr>
          <w:rFonts w:cs="Arial"/>
          <w:b/>
        </w:rPr>
        <w:t xml:space="preserve">as in Appendix H of the RFP. </w:t>
      </w:r>
    </w:p>
    <w:p w14:paraId="718BF7A5" w14:textId="3A59B0D5" w:rsidR="00A2005B" w:rsidRPr="003451DA" w:rsidRDefault="0034022A" w:rsidP="00091B43">
      <w:pPr>
        <w:spacing w:before="0" w:after="0"/>
        <w:ind w:left="720"/>
        <w:contextualSpacing/>
        <w:jc w:val="both"/>
        <w:rPr>
          <w:rFonts w:cs="Arial"/>
          <w:b/>
        </w:rPr>
      </w:pPr>
      <w:r>
        <w:rPr>
          <w:rFonts w:cs="Arial"/>
        </w:rPr>
        <w:t>This question will be included in the final version of the QPR.</w:t>
      </w:r>
    </w:p>
    <w:p w14:paraId="21A8748C" w14:textId="77777777" w:rsidR="00A2005B" w:rsidRDefault="00A2005B" w:rsidP="00091B43">
      <w:pPr>
        <w:numPr>
          <w:ilvl w:val="0"/>
          <w:numId w:val="29"/>
        </w:numPr>
        <w:spacing w:before="0" w:after="0"/>
        <w:contextualSpacing/>
        <w:jc w:val="both"/>
        <w:rPr>
          <w:rFonts w:cs="Arial"/>
          <w:b/>
        </w:rPr>
      </w:pPr>
      <w:bookmarkStart w:id="11" w:name="_Hlk23499285"/>
      <w:r w:rsidRPr="003451DA">
        <w:rPr>
          <w:rFonts w:cs="Arial"/>
          <w:b/>
        </w:rPr>
        <w:t>What does the BSCC see as distinguishing between net widening and the preventive aspects of the programs?</w:t>
      </w:r>
      <w:r w:rsidRPr="003451DA">
        <w:rPr>
          <w:rFonts w:cs="Arial"/>
        </w:rPr>
        <w:t xml:space="preserve"> </w:t>
      </w:r>
    </w:p>
    <w:p w14:paraId="454B8B52" w14:textId="0793F50E" w:rsidR="004B354A" w:rsidRDefault="00A2005B" w:rsidP="004B354A">
      <w:pPr>
        <w:spacing w:after="0"/>
        <w:ind w:left="720"/>
        <w:contextualSpacing/>
        <w:jc w:val="both"/>
        <w:rPr>
          <w:rFonts w:cs="Arial"/>
        </w:rPr>
      </w:pPr>
      <w:r w:rsidRPr="003451DA">
        <w:rPr>
          <w:rFonts w:cs="Arial"/>
        </w:rPr>
        <w:t xml:space="preserve">While recognizing the sometimes-difficult balancing act between the two, it is incumbent upon grantees to ensure that net widening does not occur. </w:t>
      </w:r>
      <w:r w:rsidR="004B354A">
        <w:rPr>
          <w:rFonts w:cs="Arial"/>
        </w:rPr>
        <w:t>Gra</w:t>
      </w:r>
      <w:bookmarkStart w:id="12" w:name="_GoBack"/>
      <w:bookmarkEnd w:id="12"/>
      <w:r w:rsidR="004B354A">
        <w:rPr>
          <w:rFonts w:cs="Arial"/>
        </w:rPr>
        <w:t>nt funded-projects must take step</w:t>
      </w:r>
      <w:r w:rsidR="00204EB0">
        <w:rPr>
          <w:rFonts w:cs="Arial"/>
        </w:rPr>
        <w:t>s</w:t>
      </w:r>
      <w:r w:rsidR="004B354A">
        <w:rPr>
          <w:rFonts w:cs="Arial"/>
        </w:rPr>
        <w:t xml:space="preserve"> to </w:t>
      </w:r>
      <w:r w:rsidR="004B354A" w:rsidRPr="00E444CA">
        <w:rPr>
          <w:rFonts w:cs="Arial"/>
        </w:rPr>
        <w:t>ensure youth who could be served with a less restrictive, less punitive option will be, i.e., that no net-widening will occur, and that only youth who would otherwise be going into the system or will penetrate deeper into the system will be</w:t>
      </w:r>
      <w:r w:rsidR="004B354A">
        <w:rPr>
          <w:rFonts w:cs="Arial"/>
        </w:rPr>
        <w:t xml:space="preserve"> provided services (RFP, Page 21).</w:t>
      </w:r>
    </w:p>
    <w:bookmarkEnd w:id="11"/>
    <w:p w14:paraId="4EFF68AB" w14:textId="77777777" w:rsidR="00A2005B" w:rsidRPr="003451DA" w:rsidRDefault="00A2005B" w:rsidP="00091B43">
      <w:pPr>
        <w:spacing w:before="0" w:after="0"/>
        <w:ind w:left="720"/>
        <w:contextualSpacing/>
        <w:jc w:val="both"/>
        <w:rPr>
          <w:rFonts w:cs="Arial"/>
          <w:b/>
        </w:rPr>
      </w:pPr>
    </w:p>
    <w:p w14:paraId="375F5598" w14:textId="047F698F" w:rsidR="00A2005B" w:rsidRPr="003451DA" w:rsidRDefault="00A2005B" w:rsidP="00091B43">
      <w:pPr>
        <w:numPr>
          <w:ilvl w:val="0"/>
          <w:numId w:val="29"/>
        </w:numPr>
        <w:spacing w:before="0" w:after="0"/>
        <w:contextualSpacing/>
        <w:jc w:val="both"/>
        <w:rPr>
          <w:rFonts w:cs="Arial"/>
          <w:b/>
        </w:rPr>
      </w:pPr>
      <w:r w:rsidRPr="003451DA">
        <w:rPr>
          <w:rFonts w:cs="Arial"/>
          <w:b/>
        </w:rPr>
        <w:t>Because so many of the grantees are working with coalitions, collaborations and networking for the first or second time</w:t>
      </w:r>
      <w:r>
        <w:rPr>
          <w:rFonts w:cs="Arial"/>
          <w:b/>
        </w:rPr>
        <w:t xml:space="preserve">, </w:t>
      </w:r>
      <w:r w:rsidRPr="003451DA">
        <w:rPr>
          <w:rFonts w:cs="Arial"/>
          <w:b/>
        </w:rPr>
        <w:t xml:space="preserve">the group </w:t>
      </w:r>
      <w:r>
        <w:rPr>
          <w:rFonts w:cs="Arial"/>
          <w:b/>
        </w:rPr>
        <w:t>overall may not</w:t>
      </w:r>
      <w:r w:rsidRPr="003451DA">
        <w:rPr>
          <w:rFonts w:cs="Arial"/>
          <w:b/>
        </w:rPr>
        <w:t xml:space="preserve"> see </w:t>
      </w:r>
      <w:r>
        <w:rPr>
          <w:rFonts w:cs="Arial"/>
          <w:b/>
        </w:rPr>
        <w:t>itself</w:t>
      </w:r>
      <w:r w:rsidRPr="003451DA">
        <w:rPr>
          <w:rFonts w:cs="Arial"/>
          <w:b/>
        </w:rPr>
        <w:t xml:space="preserve"> achieving the identified goals</w:t>
      </w:r>
      <w:r>
        <w:rPr>
          <w:rFonts w:cs="Arial"/>
          <w:b/>
        </w:rPr>
        <w:t>, which creates challenges</w:t>
      </w:r>
      <w:r w:rsidRPr="003451DA">
        <w:rPr>
          <w:rFonts w:cs="Arial"/>
          <w:b/>
        </w:rPr>
        <w:t xml:space="preserve">. Are you measuring or looking at how </w:t>
      </w:r>
      <w:r w:rsidR="004B354A">
        <w:rPr>
          <w:rFonts w:cs="Arial"/>
          <w:b/>
        </w:rPr>
        <w:t>you will</w:t>
      </w:r>
      <w:r>
        <w:rPr>
          <w:rFonts w:cs="Arial"/>
          <w:b/>
        </w:rPr>
        <w:t xml:space="preserve"> </w:t>
      </w:r>
      <w:r w:rsidRPr="003451DA">
        <w:rPr>
          <w:rFonts w:cs="Arial"/>
          <w:b/>
        </w:rPr>
        <w:t>measure</w:t>
      </w:r>
      <w:r>
        <w:rPr>
          <w:rFonts w:cs="Arial"/>
          <w:b/>
        </w:rPr>
        <w:t xml:space="preserve"> </w:t>
      </w:r>
      <w:r w:rsidRPr="003451DA">
        <w:rPr>
          <w:rFonts w:cs="Arial"/>
          <w:b/>
        </w:rPr>
        <w:t>the coalition</w:t>
      </w:r>
      <w:r>
        <w:rPr>
          <w:rFonts w:cs="Arial"/>
          <w:b/>
        </w:rPr>
        <w:t>’</w:t>
      </w:r>
      <w:r w:rsidRPr="003451DA">
        <w:rPr>
          <w:rFonts w:cs="Arial"/>
          <w:b/>
        </w:rPr>
        <w:t>s</w:t>
      </w:r>
      <w:r>
        <w:rPr>
          <w:rFonts w:cs="Arial"/>
          <w:b/>
        </w:rPr>
        <w:t>/</w:t>
      </w:r>
      <w:r w:rsidRPr="003451DA">
        <w:rPr>
          <w:rFonts w:cs="Arial"/>
          <w:b/>
        </w:rPr>
        <w:t>network</w:t>
      </w:r>
      <w:r>
        <w:rPr>
          <w:rFonts w:cs="Arial"/>
          <w:b/>
        </w:rPr>
        <w:t>’s</w:t>
      </w:r>
      <w:r w:rsidRPr="003451DA">
        <w:rPr>
          <w:rFonts w:cs="Arial"/>
          <w:b/>
        </w:rPr>
        <w:t xml:space="preserve"> place in regard</w:t>
      </w:r>
      <w:r>
        <w:rPr>
          <w:rFonts w:cs="Arial"/>
          <w:b/>
        </w:rPr>
        <w:t>s</w:t>
      </w:r>
      <w:r w:rsidRPr="003451DA">
        <w:rPr>
          <w:rFonts w:cs="Arial"/>
          <w:b/>
        </w:rPr>
        <w:t xml:space="preserve"> to the programming, especially if a new evidence-based model i</w:t>
      </w:r>
      <w:r>
        <w:rPr>
          <w:rFonts w:cs="Arial"/>
          <w:b/>
        </w:rPr>
        <w:t>s used to</w:t>
      </w:r>
      <w:r w:rsidRPr="003451DA">
        <w:rPr>
          <w:rFonts w:cs="Arial"/>
          <w:b/>
        </w:rPr>
        <w:t xml:space="preserve"> get people to change the way they do business?</w:t>
      </w:r>
    </w:p>
    <w:p w14:paraId="5F636A27" w14:textId="77777777" w:rsidR="00A2005B" w:rsidRDefault="00A2005B" w:rsidP="00091B43">
      <w:pPr>
        <w:spacing w:before="0" w:after="0"/>
        <w:ind w:left="720"/>
        <w:contextualSpacing/>
        <w:jc w:val="both"/>
        <w:rPr>
          <w:rFonts w:cs="Arial"/>
        </w:rPr>
      </w:pPr>
      <w:r>
        <w:rPr>
          <w:rFonts w:cs="Arial"/>
        </w:rPr>
        <w:t xml:space="preserve">The </w:t>
      </w:r>
      <w:r w:rsidRPr="005001DE">
        <w:rPr>
          <w:rFonts w:cs="Arial"/>
        </w:rPr>
        <w:t xml:space="preserve">BSCC has contracted for an outcome evaluation only and </w:t>
      </w:r>
      <w:r w:rsidRPr="005001DE">
        <w:rPr>
          <w:rFonts w:cs="Arial"/>
        </w:rPr>
        <w:t xml:space="preserve">the scope did not include a process evaluation which would be more </w:t>
      </w:r>
      <w:r>
        <w:rPr>
          <w:rFonts w:cs="Arial"/>
        </w:rPr>
        <w:t xml:space="preserve">likely to include the </w:t>
      </w:r>
      <w:r w:rsidRPr="005001DE">
        <w:rPr>
          <w:rFonts w:cs="Arial"/>
        </w:rPr>
        <w:t>type of evaluation</w:t>
      </w:r>
      <w:r>
        <w:rPr>
          <w:rFonts w:cs="Arial"/>
        </w:rPr>
        <w:t xml:space="preserve"> asked about here.</w:t>
      </w:r>
    </w:p>
    <w:p w14:paraId="03EC5461" w14:textId="77777777" w:rsidR="00A2005B" w:rsidRPr="005001DE" w:rsidRDefault="00A2005B" w:rsidP="00091B43">
      <w:pPr>
        <w:spacing w:before="0" w:after="0"/>
        <w:contextualSpacing/>
        <w:jc w:val="both"/>
        <w:rPr>
          <w:rFonts w:cs="Arial"/>
        </w:rPr>
      </w:pPr>
    </w:p>
    <w:bookmarkEnd w:id="0"/>
    <w:bookmarkEnd w:id="1"/>
    <w:p w14:paraId="52E3B381" w14:textId="77777777" w:rsidR="00A2005B" w:rsidRPr="007A797C" w:rsidRDefault="00A2005B" w:rsidP="00091B43">
      <w:pPr>
        <w:spacing w:before="0" w:after="0"/>
        <w:contextualSpacing/>
        <w:jc w:val="both"/>
      </w:pPr>
    </w:p>
    <w:sectPr w:rsidR="00A2005B" w:rsidRPr="007A797C" w:rsidSect="00B32BCE">
      <w:pgSz w:w="12240" w:h="15840"/>
      <w:pgMar w:top="720" w:right="1440" w:bottom="576" w:left="1440" w:header="201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A2A36" w14:textId="77777777" w:rsidR="00117D7A" w:rsidRDefault="00117D7A" w:rsidP="00DC1494">
      <w:pPr>
        <w:spacing w:before="0" w:after="0"/>
      </w:pPr>
      <w:r>
        <w:separator/>
      </w:r>
    </w:p>
  </w:endnote>
  <w:endnote w:type="continuationSeparator" w:id="0">
    <w:p w14:paraId="33EE1A40" w14:textId="77777777" w:rsidR="00117D7A" w:rsidRDefault="00117D7A" w:rsidP="00DC149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3117B" w14:textId="77777777" w:rsidR="00117D7A" w:rsidRDefault="00117D7A" w:rsidP="00DC1494">
      <w:pPr>
        <w:spacing w:before="0" w:after="0"/>
      </w:pPr>
      <w:r>
        <w:separator/>
      </w:r>
    </w:p>
  </w:footnote>
  <w:footnote w:type="continuationSeparator" w:id="0">
    <w:p w14:paraId="3D82A042" w14:textId="77777777" w:rsidR="00117D7A" w:rsidRDefault="00117D7A" w:rsidP="00DC149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3228"/>
    <w:multiLevelType w:val="hybridMultilevel"/>
    <w:tmpl w:val="B7664F9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2094831"/>
    <w:multiLevelType w:val="hybridMultilevel"/>
    <w:tmpl w:val="894A8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DC689A"/>
    <w:multiLevelType w:val="hybridMultilevel"/>
    <w:tmpl w:val="8E18D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30852"/>
    <w:multiLevelType w:val="hybridMultilevel"/>
    <w:tmpl w:val="A588CFE2"/>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Symbo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Symbo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145B0BB6"/>
    <w:multiLevelType w:val="hybridMultilevel"/>
    <w:tmpl w:val="931C17A0"/>
    <w:lvl w:ilvl="0" w:tplc="F15AA1D4">
      <w:start w:val="1"/>
      <w:numFmt w:val="upperLetter"/>
      <w:lvlText w:val="%1."/>
      <w:lvlJc w:val="left"/>
      <w:pPr>
        <w:ind w:left="720" w:hanging="360"/>
      </w:pPr>
      <w:rPr>
        <w:b w:val="0"/>
        <w:color w:val="000000"/>
        <w:sz w:val="24"/>
      </w:rPr>
    </w:lvl>
    <w:lvl w:ilvl="1" w:tplc="86B685C4">
      <w:start w:val="1"/>
      <w:numFmt w:val="decimal"/>
      <w:lvlText w:val="%2."/>
      <w:lvlJc w:val="left"/>
      <w:pPr>
        <w:ind w:left="1440" w:hanging="360"/>
      </w:pPr>
      <w:rPr>
        <w:rFonts w:ascii="Arial" w:eastAsia="Times New Roman" w:hAnsi="Arial" w:cs="Aria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9477834"/>
    <w:multiLevelType w:val="hybridMultilevel"/>
    <w:tmpl w:val="2ABE1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6F79B1"/>
    <w:multiLevelType w:val="hybridMultilevel"/>
    <w:tmpl w:val="80D270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5F49BA"/>
    <w:multiLevelType w:val="hybridMultilevel"/>
    <w:tmpl w:val="63B0E5B4"/>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6F459A"/>
    <w:multiLevelType w:val="hybridMultilevel"/>
    <w:tmpl w:val="FC8AC16A"/>
    <w:lvl w:ilvl="0" w:tplc="778CC3B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94C2A"/>
    <w:multiLevelType w:val="hybridMultilevel"/>
    <w:tmpl w:val="6FAA35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2A1D93"/>
    <w:multiLevelType w:val="hybridMultilevel"/>
    <w:tmpl w:val="9F76D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656760"/>
    <w:multiLevelType w:val="hybridMultilevel"/>
    <w:tmpl w:val="3224E7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E975D1"/>
    <w:multiLevelType w:val="hybridMultilevel"/>
    <w:tmpl w:val="27BA9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303858"/>
    <w:multiLevelType w:val="hybridMultilevel"/>
    <w:tmpl w:val="7FA8F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1556C3"/>
    <w:multiLevelType w:val="hybridMultilevel"/>
    <w:tmpl w:val="8F040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0365D8"/>
    <w:multiLevelType w:val="hybridMultilevel"/>
    <w:tmpl w:val="D7D80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D81450"/>
    <w:multiLevelType w:val="hybridMultilevel"/>
    <w:tmpl w:val="73C000BC"/>
    <w:lvl w:ilvl="0" w:tplc="0409000F">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5D541B62"/>
    <w:multiLevelType w:val="hybridMultilevel"/>
    <w:tmpl w:val="78780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292269"/>
    <w:multiLevelType w:val="hybridMultilevel"/>
    <w:tmpl w:val="973201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41C55FC"/>
    <w:multiLevelType w:val="hybridMultilevel"/>
    <w:tmpl w:val="F086E6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655F04"/>
    <w:multiLevelType w:val="hybridMultilevel"/>
    <w:tmpl w:val="73C000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6D45F0"/>
    <w:multiLevelType w:val="hybridMultilevel"/>
    <w:tmpl w:val="B1FE0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EA3B65"/>
    <w:multiLevelType w:val="hybridMultilevel"/>
    <w:tmpl w:val="F13AF69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Univer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Univers"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Univers"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77042A94"/>
    <w:multiLevelType w:val="hybridMultilevel"/>
    <w:tmpl w:val="54C0B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F11932"/>
    <w:multiLevelType w:val="hybridMultilevel"/>
    <w:tmpl w:val="8FA42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740BD7"/>
    <w:multiLevelType w:val="hybridMultilevel"/>
    <w:tmpl w:val="6B10B37E"/>
    <w:lvl w:ilvl="0" w:tplc="08C84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E83832"/>
    <w:multiLevelType w:val="hybridMultilevel"/>
    <w:tmpl w:val="07520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CD0770"/>
    <w:multiLevelType w:val="hybridMultilevel"/>
    <w:tmpl w:val="11F65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0D60ED"/>
    <w:multiLevelType w:val="hybridMultilevel"/>
    <w:tmpl w:val="3E966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8"/>
  </w:num>
  <w:num w:numId="3">
    <w:abstractNumId w:val="26"/>
  </w:num>
  <w:num w:numId="4">
    <w:abstractNumId w:val="15"/>
  </w:num>
  <w:num w:numId="5">
    <w:abstractNumId w:val="6"/>
  </w:num>
  <w:num w:numId="6">
    <w:abstractNumId w:val="22"/>
  </w:num>
  <w:num w:numId="7">
    <w:abstractNumId w:val="1"/>
  </w:num>
  <w:num w:numId="8">
    <w:abstractNumId w:val="14"/>
  </w:num>
  <w:num w:numId="9">
    <w:abstractNumId w:val="19"/>
  </w:num>
  <w:num w:numId="10">
    <w:abstractNumId w:val="10"/>
  </w:num>
  <w:num w:numId="11">
    <w:abstractNumId w:val="28"/>
  </w:num>
  <w:num w:numId="12">
    <w:abstractNumId w:val="5"/>
  </w:num>
  <w:num w:numId="13">
    <w:abstractNumId w:val="23"/>
  </w:num>
  <w:num w:numId="14">
    <w:abstractNumId w:val="13"/>
  </w:num>
  <w:num w:numId="15">
    <w:abstractNumId w:val="21"/>
  </w:num>
  <w:num w:numId="16">
    <w:abstractNumId w:val="3"/>
  </w:num>
  <w:num w:numId="17">
    <w:abstractNumId w:val="24"/>
  </w:num>
  <w:num w:numId="18">
    <w:abstractNumId w:val="27"/>
  </w:num>
  <w:num w:numId="19">
    <w:abstractNumId w:val="17"/>
  </w:num>
  <w:num w:numId="20">
    <w:abstractNumId w:val="0"/>
  </w:num>
  <w:num w:numId="21">
    <w:abstractNumId w:val="2"/>
  </w:num>
  <w:num w:numId="22">
    <w:abstractNumId w:val="8"/>
  </w:num>
  <w:num w:numId="23">
    <w:abstractNumId w:val="20"/>
  </w:num>
  <w:num w:numId="24">
    <w:abstractNumId w:val="16"/>
  </w:num>
  <w:num w:numId="25">
    <w:abstractNumId w:val="7"/>
  </w:num>
  <w:num w:numId="26">
    <w:abstractNumId w:val="4"/>
  </w:num>
  <w:num w:numId="27">
    <w:abstractNumId w:val="11"/>
  </w:num>
  <w:num w:numId="28">
    <w:abstractNumId w:val="12"/>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U0tTAytAASRgbGpko6SsGpxcWZ+XkgBYa1AO0jVpEsAAAA"/>
  </w:docVars>
  <w:rsids>
    <w:rsidRoot w:val="00540C67"/>
    <w:rsid w:val="00002F5C"/>
    <w:rsid w:val="000209B4"/>
    <w:rsid w:val="00024059"/>
    <w:rsid w:val="00026998"/>
    <w:rsid w:val="00030BBC"/>
    <w:rsid w:val="00031512"/>
    <w:rsid w:val="00031A70"/>
    <w:rsid w:val="00041CEB"/>
    <w:rsid w:val="0004311D"/>
    <w:rsid w:val="00043F03"/>
    <w:rsid w:val="00051922"/>
    <w:rsid w:val="00053897"/>
    <w:rsid w:val="000660FA"/>
    <w:rsid w:val="000811F7"/>
    <w:rsid w:val="00091B43"/>
    <w:rsid w:val="00092AA2"/>
    <w:rsid w:val="00093EBC"/>
    <w:rsid w:val="000A17BC"/>
    <w:rsid w:val="000A7E4A"/>
    <w:rsid w:val="000B1001"/>
    <w:rsid w:val="000B6FE6"/>
    <w:rsid w:val="000E560C"/>
    <w:rsid w:val="000F0F8E"/>
    <w:rsid w:val="0010014D"/>
    <w:rsid w:val="001104CA"/>
    <w:rsid w:val="00117D7A"/>
    <w:rsid w:val="00130DDB"/>
    <w:rsid w:val="00145F24"/>
    <w:rsid w:val="00156894"/>
    <w:rsid w:val="001722A2"/>
    <w:rsid w:val="001722FF"/>
    <w:rsid w:val="001747F5"/>
    <w:rsid w:val="001952B5"/>
    <w:rsid w:val="0019716B"/>
    <w:rsid w:val="001A20FE"/>
    <w:rsid w:val="001B0E8B"/>
    <w:rsid w:val="001B3C90"/>
    <w:rsid w:val="001B3F98"/>
    <w:rsid w:val="001B4129"/>
    <w:rsid w:val="001B6B62"/>
    <w:rsid w:val="001C213E"/>
    <w:rsid w:val="001C7832"/>
    <w:rsid w:val="001E1AF3"/>
    <w:rsid w:val="001F7399"/>
    <w:rsid w:val="00203730"/>
    <w:rsid w:val="00204EB0"/>
    <w:rsid w:val="00213798"/>
    <w:rsid w:val="00214DF8"/>
    <w:rsid w:val="00222D9E"/>
    <w:rsid w:val="0022404C"/>
    <w:rsid w:val="0022632B"/>
    <w:rsid w:val="00236977"/>
    <w:rsid w:val="00255292"/>
    <w:rsid w:val="002627B1"/>
    <w:rsid w:val="002804D9"/>
    <w:rsid w:val="002919AD"/>
    <w:rsid w:val="00294964"/>
    <w:rsid w:val="002A1920"/>
    <w:rsid w:val="002A2429"/>
    <w:rsid w:val="002A584F"/>
    <w:rsid w:val="002B0659"/>
    <w:rsid w:val="002B0F21"/>
    <w:rsid w:val="002B4CA0"/>
    <w:rsid w:val="002D1B32"/>
    <w:rsid w:val="002D1C59"/>
    <w:rsid w:val="002D78E0"/>
    <w:rsid w:val="002E7476"/>
    <w:rsid w:val="002E7B26"/>
    <w:rsid w:val="00307459"/>
    <w:rsid w:val="0031346D"/>
    <w:rsid w:val="00332AF6"/>
    <w:rsid w:val="003375A7"/>
    <w:rsid w:val="0034022A"/>
    <w:rsid w:val="003441DD"/>
    <w:rsid w:val="003564A8"/>
    <w:rsid w:val="00362B03"/>
    <w:rsid w:val="00373C28"/>
    <w:rsid w:val="003827EB"/>
    <w:rsid w:val="00390C2C"/>
    <w:rsid w:val="00390C4F"/>
    <w:rsid w:val="003A3B49"/>
    <w:rsid w:val="003A3DA1"/>
    <w:rsid w:val="003B1AB5"/>
    <w:rsid w:val="003C2328"/>
    <w:rsid w:val="003C7E6F"/>
    <w:rsid w:val="003D453A"/>
    <w:rsid w:val="003D5AD7"/>
    <w:rsid w:val="003E486E"/>
    <w:rsid w:val="003F1037"/>
    <w:rsid w:val="003F189D"/>
    <w:rsid w:val="004204D7"/>
    <w:rsid w:val="00424EB9"/>
    <w:rsid w:val="0042680B"/>
    <w:rsid w:val="00431399"/>
    <w:rsid w:val="00432958"/>
    <w:rsid w:val="00436129"/>
    <w:rsid w:val="004542C2"/>
    <w:rsid w:val="004574DF"/>
    <w:rsid w:val="0046141D"/>
    <w:rsid w:val="00471B4E"/>
    <w:rsid w:val="004B354A"/>
    <w:rsid w:val="004D0E89"/>
    <w:rsid w:val="004D528E"/>
    <w:rsid w:val="004D7EA6"/>
    <w:rsid w:val="0052329D"/>
    <w:rsid w:val="00524AE0"/>
    <w:rsid w:val="005276F9"/>
    <w:rsid w:val="00531421"/>
    <w:rsid w:val="00540C67"/>
    <w:rsid w:val="005558F4"/>
    <w:rsid w:val="005640F4"/>
    <w:rsid w:val="005734AA"/>
    <w:rsid w:val="00575CE3"/>
    <w:rsid w:val="0058479B"/>
    <w:rsid w:val="00593B99"/>
    <w:rsid w:val="005A4C37"/>
    <w:rsid w:val="005D7688"/>
    <w:rsid w:val="005E3714"/>
    <w:rsid w:val="005E5F41"/>
    <w:rsid w:val="0060359A"/>
    <w:rsid w:val="00615323"/>
    <w:rsid w:val="00616D6E"/>
    <w:rsid w:val="0062050F"/>
    <w:rsid w:val="00626CFF"/>
    <w:rsid w:val="006305F4"/>
    <w:rsid w:val="00630D09"/>
    <w:rsid w:val="0063378E"/>
    <w:rsid w:val="006518CF"/>
    <w:rsid w:val="006766F0"/>
    <w:rsid w:val="0067746D"/>
    <w:rsid w:val="00690896"/>
    <w:rsid w:val="00691EF4"/>
    <w:rsid w:val="00697688"/>
    <w:rsid w:val="006A2DC7"/>
    <w:rsid w:val="006A6777"/>
    <w:rsid w:val="006A6C86"/>
    <w:rsid w:val="006B1614"/>
    <w:rsid w:val="006B605C"/>
    <w:rsid w:val="006B629B"/>
    <w:rsid w:val="006B69D1"/>
    <w:rsid w:val="006C0672"/>
    <w:rsid w:val="006D09FE"/>
    <w:rsid w:val="006D1E52"/>
    <w:rsid w:val="006D3BCE"/>
    <w:rsid w:val="006E2FDF"/>
    <w:rsid w:val="006F003F"/>
    <w:rsid w:val="006F24EB"/>
    <w:rsid w:val="0071296E"/>
    <w:rsid w:val="0072560A"/>
    <w:rsid w:val="00731FC8"/>
    <w:rsid w:val="00736F08"/>
    <w:rsid w:val="0074242A"/>
    <w:rsid w:val="00745C89"/>
    <w:rsid w:val="00750AA6"/>
    <w:rsid w:val="007548AB"/>
    <w:rsid w:val="007566E1"/>
    <w:rsid w:val="00767217"/>
    <w:rsid w:val="00771658"/>
    <w:rsid w:val="007968D6"/>
    <w:rsid w:val="00796F18"/>
    <w:rsid w:val="007A797C"/>
    <w:rsid w:val="007B7077"/>
    <w:rsid w:val="007C165D"/>
    <w:rsid w:val="007E711D"/>
    <w:rsid w:val="007F55AD"/>
    <w:rsid w:val="007F5BB9"/>
    <w:rsid w:val="008470C8"/>
    <w:rsid w:val="00853934"/>
    <w:rsid w:val="00855FF9"/>
    <w:rsid w:val="0088005E"/>
    <w:rsid w:val="008954E3"/>
    <w:rsid w:val="008967BC"/>
    <w:rsid w:val="008974A2"/>
    <w:rsid w:val="008A5E13"/>
    <w:rsid w:val="008B7FEA"/>
    <w:rsid w:val="008D7E2C"/>
    <w:rsid w:val="009000B4"/>
    <w:rsid w:val="0090275F"/>
    <w:rsid w:val="009318B2"/>
    <w:rsid w:val="009402CF"/>
    <w:rsid w:val="00951936"/>
    <w:rsid w:val="0095195D"/>
    <w:rsid w:val="009705B5"/>
    <w:rsid w:val="00976FD4"/>
    <w:rsid w:val="00981D64"/>
    <w:rsid w:val="00995B86"/>
    <w:rsid w:val="009B2A73"/>
    <w:rsid w:val="009D129C"/>
    <w:rsid w:val="009E0657"/>
    <w:rsid w:val="009F2C58"/>
    <w:rsid w:val="00A138AB"/>
    <w:rsid w:val="00A13BE4"/>
    <w:rsid w:val="00A15687"/>
    <w:rsid w:val="00A2005B"/>
    <w:rsid w:val="00A32542"/>
    <w:rsid w:val="00A347C7"/>
    <w:rsid w:val="00A61264"/>
    <w:rsid w:val="00A64C18"/>
    <w:rsid w:val="00A83E1A"/>
    <w:rsid w:val="00A853CB"/>
    <w:rsid w:val="00A91055"/>
    <w:rsid w:val="00A97E2E"/>
    <w:rsid w:val="00AB0A63"/>
    <w:rsid w:val="00AD0323"/>
    <w:rsid w:val="00B015B6"/>
    <w:rsid w:val="00B13C55"/>
    <w:rsid w:val="00B2287C"/>
    <w:rsid w:val="00B24ED5"/>
    <w:rsid w:val="00B26A0A"/>
    <w:rsid w:val="00B32BCE"/>
    <w:rsid w:val="00B32CDF"/>
    <w:rsid w:val="00B34907"/>
    <w:rsid w:val="00B354CA"/>
    <w:rsid w:val="00B51684"/>
    <w:rsid w:val="00B535DB"/>
    <w:rsid w:val="00B70219"/>
    <w:rsid w:val="00B749C2"/>
    <w:rsid w:val="00B77E86"/>
    <w:rsid w:val="00B912BE"/>
    <w:rsid w:val="00B9357C"/>
    <w:rsid w:val="00BC2667"/>
    <w:rsid w:val="00BD70A1"/>
    <w:rsid w:val="00BD7C11"/>
    <w:rsid w:val="00BE0BFF"/>
    <w:rsid w:val="00BF4471"/>
    <w:rsid w:val="00BF498A"/>
    <w:rsid w:val="00BF6254"/>
    <w:rsid w:val="00C05C1D"/>
    <w:rsid w:val="00C06E53"/>
    <w:rsid w:val="00C10B5E"/>
    <w:rsid w:val="00C123E4"/>
    <w:rsid w:val="00C16AAC"/>
    <w:rsid w:val="00C17911"/>
    <w:rsid w:val="00C24634"/>
    <w:rsid w:val="00C258E7"/>
    <w:rsid w:val="00C27366"/>
    <w:rsid w:val="00C53425"/>
    <w:rsid w:val="00C55A5C"/>
    <w:rsid w:val="00C60E46"/>
    <w:rsid w:val="00C75A56"/>
    <w:rsid w:val="00C76CBE"/>
    <w:rsid w:val="00C77578"/>
    <w:rsid w:val="00C86BC1"/>
    <w:rsid w:val="00CB2162"/>
    <w:rsid w:val="00CD0B3E"/>
    <w:rsid w:val="00CD63A4"/>
    <w:rsid w:val="00CD6A4B"/>
    <w:rsid w:val="00CE5449"/>
    <w:rsid w:val="00CF282D"/>
    <w:rsid w:val="00CF793E"/>
    <w:rsid w:val="00D24E23"/>
    <w:rsid w:val="00D551B2"/>
    <w:rsid w:val="00D57CF1"/>
    <w:rsid w:val="00D667E7"/>
    <w:rsid w:val="00D71E84"/>
    <w:rsid w:val="00D95804"/>
    <w:rsid w:val="00DA0148"/>
    <w:rsid w:val="00DA3963"/>
    <w:rsid w:val="00DA5F65"/>
    <w:rsid w:val="00DB0C46"/>
    <w:rsid w:val="00DB567C"/>
    <w:rsid w:val="00DC05F1"/>
    <w:rsid w:val="00DC1494"/>
    <w:rsid w:val="00DD1DEA"/>
    <w:rsid w:val="00DD3FA5"/>
    <w:rsid w:val="00DE6723"/>
    <w:rsid w:val="00DF3E59"/>
    <w:rsid w:val="00E10C22"/>
    <w:rsid w:val="00E16ECD"/>
    <w:rsid w:val="00E239A6"/>
    <w:rsid w:val="00E314DB"/>
    <w:rsid w:val="00E32D6F"/>
    <w:rsid w:val="00E3758C"/>
    <w:rsid w:val="00E4033E"/>
    <w:rsid w:val="00E40832"/>
    <w:rsid w:val="00E56754"/>
    <w:rsid w:val="00E72384"/>
    <w:rsid w:val="00E74E6B"/>
    <w:rsid w:val="00E8096F"/>
    <w:rsid w:val="00E859C2"/>
    <w:rsid w:val="00E87950"/>
    <w:rsid w:val="00EA7C93"/>
    <w:rsid w:val="00EB3BAB"/>
    <w:rsid w:val="00EB5F32"/>
    <w:rsid w:val="00EC33DE"/>
    <w:rsid w:val="00EC7D65"/>
    <w:rsid w:val="00ED0747"/>
    <w:rsid w:val="00EF55CD"/>
    <w:rsid w:val="00EF7CB7"/>
    <w:rsid w:val="00F11AC5"/>
    <w:rsid w:val="00F12968"/>
    <w:rsid w:val="00F13058"/>
    <w:rsid w:val="00F20531"/>
    <w:rsid w:val="00F23EDE"/>
    <w:rsid w:val="00F33E1C"/>
    <w:rsid w:val="00F500A2"/>
    <w:rsid w:val="00F61344"/>
    <w:rsid w:val="00F83EE3"/>
    <w:rsid w:val="00FC6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FFB09D"/>
  <w15:docId w15:val="{B7DBBDCA-4806-4E81-8E2A-6F6D9C0F8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70C8"/>
    <w:pPr>
      <w:spacing w:before="120" w:after="12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0C6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C67"/>
    <w:rPr>
      <w:rFonts w:ascii="Tahoma" w:hAnsi="Tahoma" w:cs="Tahoma"/>
      <w:sz w:val="16"/>
      <w:szCs w:val="16"/>
    </w:rPr>
  </w:style>
  <w:style w:type="paragraph" w:styleId="NoSpacing">
    <w:name w:val="No Spacing"/>
    <w:uiPriority w:val="1"/>
    <w:qFormat/>
    <w:rsid w:val="008470C8"/>
    <w:pPr>
      <w:spacing w:after="0" w:line="240" w:lineRule="auto"/>
    </w:pPr>
    <w:rPr>
      <w:rFonts w:ascii="Arial" w:hAnsi="Arial"/>
      <w:sz w:val="24"/>
    </w:rPr>
  </w:style>
  <w:style w:type="paragraph" w:styleId="Header">
    <w:name w:val="header"/>
    <w:basedOn w:val="Normal"/>
    <w:link w:val="HeaderChar"/>
    <w:uiPriority w:val="99"/>
    <w:unhideWhenUsed/>
    <w:rsid w:val="00FC6BBC"/>
    <w:pPr>
      <w:tabs>
        <w:tab w:val="center" w:pos="4680"/>
        <w:tab w:val="right" w:pos="9360"/>
      </w:tabs>
      <w:spacing w:before="0" w:after="0"/>
    </w:pPr>
  </w:style>
  <w:style w:type="character" w:customStyle="1" w:styleId="HeaderChar">
    <w:name w:val="Header Char"/>
    <w:basedOn w:val="DefaultParagraphFont"/>
    <w:link w:val="Header"/>
    <w:uiPriority w:val="99"/>
    <w:rsid w:val="00FC6BBC"/>
    <w:rPr>
      <w:rFonts w:ascii="Arial" w:hAnsi="Arial"/>
      <w:sz w:val="24"/>
    </w:rPr>
  </w:style>
  <w:style w:type="paragraph" w:styleId="Footer">
    <w:name w:val="footer"/>
    <w:basedOn w:val="Normal"/>
    <w:link w:val="FooterChar"/>
    <w:uiPriority w:val="99"/>
    <w:unhideWhenUsed/>
    <w:rsid w:val="00FC6BBC"/>
    <w:pPr>
      <w:tabs>
        <w:tab w:val="center" w:pos="4680"/>
        <w:tab w:val="right" w:pos="9360"/>
      </w:tabs>
      <w:spacing w:before="0" w:after="0"/>
    </w:pPr>
  </w:style>
  <w:style w:type="character" w:customStyle="1" w:styleId="FooterChar">
    <w:name w:val="Footer Char"/>
    <w:basedOn w:val="DefaultParagraphFont"/>
    <w:link w:val="Footer"/>
    <w:uiPriority w:val="99"/>
    <w:rsid w:val="00FC6BBC"/>
    <w:rPr>
      <w:rFonts w:ascii="Arial" w:hAnsi="Arial"/>
      <w:sz w:val="24"/>
    </w:rPr>
  </w:style>
  <w:style w:type="paragraph" w:styleId="FootnoteText">
    <w:name w:val="footnote text"/>
    <w:basedOn w:val="Normal"/>
    <w:link w:val="FootnoteTextChar"/>
    <w:uiPriority w:val="99"/>
    <w:semiHidden/>
    <w:unhideWhenUsed/>
    <w:rsid w:val="002B0F21"/>
    <w:pPr>
      <w:spacing w:before="0" w:after="0"/>
    </w:pPr>
    <w:rPr>
      <w:sz w:val="20"/>
      <w:szCs w:val="20"/>
    </w:rPr>
  </w:style>
  <w:style w:type="character" w:customStyle="1" w:styleId="FootnoteTextChar">
    <w:name w:val="Footnote Text Char"/>
    <w:basedOn w:val="DefaultParagraphFont"/>
    <w:link w:val="FootnoteText"/>
    <w:uiPriority w:val="99"/>
    <w:semiHidden/>
    <w:rsid w:val="002B0F21"/>
    <w:rPr>
      <w:rFonts w:ascii="Arial" w:hAnsi="Arial"/>
      <w:sz w:val="20"/>
      <w:szCs w:val="20"/>
    </w:rPr>
  </w:style>
  <w:style w:type="character" w:styleId="FootnoteReference">
    <w:name w:val="footnote reference"/>
    <w:basedOn w:val="DefaultParagraphFont"/>
    <w:semiHidden/>
    <w:rsid w:val="002B0F21"/>
    <w:rPr>
      <w:vertAlign w:val="superscript"/>
    </w:rPr>
  </w:style>
  <w:style w:type="character" w:styleId="Hyperlink">
    <w:name w:val="Hyperlink"/>
    <w:basedOn w:val="DefaultParagraphFont"/>
    <w:uiPriority w:val="99"/>
    <w:unhideWhenUsed/>
    <w:rsid w:val="002B0F21"/>
    <w:rPr>
      <w:color w:val="0000FF" w:themeColor="hyperlink"/>
      <w:u w:val="single"/>
    </w:rPr>
  </w:style>
  <w:style w:type="paragraph" w:styleId="ListParagraph">
    <w:name w:val="List Paragraph"/>
    <w:basedOn w:val="Normal"/>
    <w:uiPriority w:val="34"/>
    <w:qFormat/>
    <w:rsid w:val="00771658"/>
    <w:pPr>
      <w:ind w:left="720"/>
      <w:contextualSpacing/>
    </w:pPr>
  </w:style>
  <w:style w:type="table" w:styleId="TableGrid">
    <w:name w:val="Table Grid"/>
    <w:basedOn w:val="TableNormal"/>
    <w:uiPriority w:val="59"/>
    <w:rsid w:val="00081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0B5E"/>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431399"/>
    <w:rPr>
      <w:b/>
      <w:bCs/>
    </w:rPr>
  </w:style>
  <w:style w:type="character" w:styleId="UnresolvedMention">
    <w:name w:val="Unresolved Mention"/>
    <w:basedOn w:val="DefaultParagraphFont"/>
    <w:uiPriority w:val="99"/>
    <w:semiHidden/>
    <w:unhideWhenUsed/>
    <w:rsid w:val="006305F4"/>
    <w:rPr>
      <w:color w:val="808080"/>
      <w:shd w:val="clear" w:color="auto" w:fill="E6E6E6"/>
    </w:rPr>
  </w:style>
  <w:style w:type="character" w:styleId="CommentReference">
    <w:name w:val="annotation reference"/>
    <w:basedOn w:val="DefaultParagraphFont"/>
    <w:uiPriority w:val="99"/>
    <w:semiHidden/>
    <w:unhideWhenUsed/>
    <w:rsid w:val="0004311D"/>
    <w:rPr>
      <w:sz w:val="16"/>
      <w:szCs w:val="16"/>
    </w:rPr>
  </w:style>
  <w:style w:type="paragraph" w:styleId="CommentText">
    <w:name w:val="annotation text"/>
    <w:basedOn w:val="Normal"/>
    <w:link w:val="CommentTextChar"/>
    <w:uiPriority w:val="99"/>
    <w:semiHidden/>
    <w:unhideWhenUsed/>
    <w:rsid w:val="0004311D"/>
    <w:rPr>
      <w:sz w:val="20"/>
      <w:szCs w:val="20"/>
    </w:rPr>
  </w:style>
  <w:style w:type="character" w:customStyle="1" w:styleId="CommentTextChar">
    <w:name w:val="Comment Text Char"/>
    <w:basedOn w:val="DefaultParagraphFont"/>
    <w:link w:val="CommentText"/>
    <w:uiPriority w:val="99"/>
    <w:semiHidden/>
    <w:rsid w:val="0004311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4311D"/>
    <w:rPr>
      <w:b/>
      <w:bCs/>
    </w:rPr>
  </w:style>
  <w:style w:type="character" w:customStyle="1" w:styleId="CommentSubjectChar">
    <w:name w:val="Comment Subject Char"/>
    <w:basedOn w:val="CommentTextChar"/>
    <w:link w:val="CommentSubject"/>
    <w:uiPriority w:val="99"/>
    <w:semiHidden/>
    <w:rsid w:val="0004311D"/>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8390">
      <w:bodyDiv w:val="1"/>
      <w:marLeft w:val="0"/>
      <w:marRight w:val="0"/>
      <w:marTop w:val="0"/>
      <w:marBottom w:val="0"/>
      <w:divBdr>
        <w:top w:val="none" w:sz="0" w:space="0" w:color="auto"/>
        <w:left w:val="none" w:sz="0" w:space="0" w:color="auto"/>
        <w:bottom w:val="none" w:sz="0" w:space="0" w:color="auto"/>
        <w:right w:val="none" w:sz="0" w:space="0" w:color="auto"/>
      </w:divBdr>
    </w:div>
    <w:div w:id="482429448">
      <w:bodyDiv w:val="1"/>
      <w:marLeft w:val="0"/>
      <w:marRight w:val="0"/>
      <w:marTop w:val="0"/>
      <w:marBottom w:val="0"/>
      <w:divBdr>
        <w:top w:val="none" w:sz="0" w:space="0" w:color="auto"/>
        <w:left w:val="none" w:sz="0" w:space="0" w:color="auto"/>
        <w:bottom w:val="none" w:sz="0" w:space="0" w:color="auto"/>
        <w:right w:val="none" w:sz="0" w:space="0" w:color="auto"/>
      </w:divBdr>
    </w:div>
    <w:div w:id="921720906">
      <w:bodyDiv w:val="1"/>
      <w:marLeft w:val="0"/>
      <w:marRight w:val="0"/>
      <w:marTop w:val="0"/>
      <w:marBottom w:val="0"/>
      <w:divBdr>
        <w:top w:val="none" w:sz="0" w:space="0" w:color="auto"/>
        <w:left w:val="none" w:sz="0" w:space="0" w:color="auto"/>
        <w:bottom w:val="none" w:sz="0" w:space="0" w:color="auto"/>
        <w:right w:val="none" w:sz="0" w:space="0" w:color="auto"/>
      </w:divBdr>
    </w:div>
    <w:div w:id="1179781079">
      <w:bodyDiv w:val="1"/>
      <w:marLeft w:val="0"/>
      <w:marRight w:val="0"/>
      <w:marTop w:val="0"/>
      <w:marBottom w:val="0"/>
      <w:divBdr>
        <w:top w:val="none" w:sz="0" w:space="0" w:color="auto"/>
        <w:left w:val="none" w:sz="0" w:space="0" w:color="auto"/>
        <w:bottom w:val="none" w:sz="0" w:space="0" w:color="auto"/>
        <w:right w:val="none" w:sz="0" w:space="0" w:color="auto"/>
      </w:divBdr>
    </w:div>
    <w:div w:id="1479348610">
      <w:bodyDiv w:val="1"/>
      <w:marLeft w:val="0"/>
      <w:marRight w:val="0"/>
      <w:marTop w:val="0"/>
      <w:marBottom w:val="0"/>
      <w:divBdr>
        <w:top w:val="none" w:sz="0" w:space="0" w:color="auto"/>
        <w:left w:val="none" w:sz="0" w:space="0" w:color="auto"/>
        <w:bottom w:val="none" w:sz="0" w:space="0" w:color="auto"/>
        <w:right w:val="none" w:sz="0" w:space="0" w:color="auto"/>
      </w:divBdr>
    </w:div>
    <w:div w:id="1617370305">
      <w:bodyDiv w:val="1"/>
      <w:marLeft w:val="0"/>
      <w:marRight w:val="0"/>
      <w:marTop w:val="0"/>
      <w:marBottom w:val="0"/>
      <w:divBdr>
        <w:top w:val="none" w:sz="0" w:space="0" w:color="auto"/>
        <w:left w:val="none" w:sz="0" w:space="0" w:color="auto"/>
        <w:bottom w:val="none" w:sz="0" w:space="0" w:color="auto"/>
        <w:right w:val="none" w:sz="0" w:space="0" w:color="auto"/>
      </w:divBdr>
    </w:div>
    <w:div w:id="1844474055">
      <w:bodyDiv w:val="1"/>
      <w:marLeft w:val="0"/>
      <w:marRight w:val="0"/>
      <w:marTop w:val="0"/>
      <w:marBottom w:val="0"/>
      <w:divBdr>
        <w:top w:val="none" w:sz="0" w:space="0" w:color="auto"/>
        <w:left w:val="none" w:sz="0" w:space="0" w:color="auto"/>
        <w:bottom w:val="none" w:sz="0" w:space="0" w:color="auto"/>
        <w:right w:val="none" w:sz="0" w:space="0" w:color="auto"/>
      </w:divBdr>
    </w:div>
    <w:div w:id="1992101214">
      <w:bodyDiv w:val="1"/>
      <w:marLeft w:val="0"/>
      <w:marRight w:val="0"/>
      <w:marTop w:val="0"/>
      <w:marBottom w:val="0"/>
      <w:divBdr>
        <w:top w:val="none" w:sz="0" w:space="0" w:color="auto"/>
        <w:left w:val="none" w:sz="0" w:space="0" w:color="auto"/>
        <w:bottom w:val="none" w:sz="0" w:space="0" w:color="auto"/>
        <w:right w:val="none" w:sz="0" w:space="0" w:color="auto"/>
      </w:divBdr>
    </w:div>
    <w:div w:id="213405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outhReinvestmentGrant@bscc.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scc.ca.gov/s_bsccprop47/" TargetMode="External"/><Relationship Id="rId4" Type="http://schemas.openxmlformats.org/officeDocument/2006/relationships/settings" Target="settings.xml"/><Relationship Id="rId9" Type="http://schemas.openxmlformats.org/officeDocument/2006/relationships/hyperlink" Target="http://www.bscc.ca.gov/s_evaluation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0EE5D-B453-40A0-ADC7-D5EB232F1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1889</Words>
  <Characters>10768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CDCR</Company>
  <LinksUpToDate>false</LinksUpToDate>
  <CharactersWithSpaces>12632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kally.pile</dc:creator>
  <cp:lastModifiedBy>Bushard, Kimberly@BSCC</cp:lastModifiedBy>
  <cp:revision>6</cp:revision>
  <cp:lastPrinted>2019-10-31T16:01:00Z</cp:lastPrinted>
  <dcterms:created xsi:type="dcterms:W3CDTF">2019-11-08T14:08:00Z</dcterms:created>
  <dcterms:modified xsi:type="dcterms:W3CDTF">2019-12-23T18:25:00Z</dcterms:modified>
</cp:coreProperties>
</file>