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40F3427D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471132">
              <w:rPr>
                <w:rFonts w:ascii="Arial" w:eastAsia="Times New Roman" w:hAnsi="Arial" w:cs="Arial"/>
                <w:sz w:val="24"/>
                <w:szCs w:val="24"/>
              </w:rPr>
              <w:t>City of Salinas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57E2B3D6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47113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CalVIP Funding 2018-2020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529153F0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47113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821</w:t>
            </w:r>
            <w:r w:rsidR="002F2BB8" w:rsidRPr="002F2BB8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03A2A34A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311FE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851973288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6C82159E" w:rsidR="008B4564" w:rsidRDefault="005311FE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851973288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273640538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75493510" w:rsidR="008B4564" w:rsidRDefault="005311FE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273640538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1696941086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63AC9DFD" w:rsidR="008B4564" w:rsidRDefault="005311FE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696941086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14624081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76F7810D" w:rsidR="008B4564" w:rsidRDefault="005311FE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14624081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260704509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214811E2" w:rsidR="008B4564" w:rsidRDefault="005311FE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260704509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189888503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32048F90" w:rsidR="008B4564" w:rsidRDefault="005311FE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89888503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1144676456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28823E8D" w:rsidR="008B4564" w:rsidRDefault="005311FE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144676456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1580214980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5C6045E9" w:rsidR="008B4564" w:rsidRDefault="005311FE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580214980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1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7C7CA7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7C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7C7CA7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7C7CA7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667B0B02" w:rsidR="00257BDF" w:rsidRPr="000E51A2" w:rsidRDefault="00471132" w:rsidP="000E5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Provide services to youth and parents to reduce risk factors and increase protective factors for youth.</w:t>
            </w:r>
          </w:p>
        </w:tc>
      </w:tr>
      <w:tr w:rsidR="00471132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63032FE8" w:rsidR="00471132" w:rsidRPr="000E51A2" w:rsidRDefault="00471132" w:rsidP="000E51A2">
            <w:pPr>
              <w:pStyle w:val="ListParagraph"/>
              <w:numPr>
                <w:ilvl w:val="0"/>
                <w:numId w:val="26"/>
              </w:numPr>
              <w:spacing w:before="11"/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Provide </w:t>
            </w:r>
            <w:proofErr w:type="gramStart"/>
            <w:r w:rsidRPr="00471132">
              <w:rPr>
                <w:rFonts w:ascii="Arial" w:eastAsia="Arial" w:hAnsi="Arial" w:cs="Arial"/>
                <w:i/>
                <w:color w:val="131313"/>
                <w:position w:val="1"/>
                <w:sz w:val="24"/>
                <w:szCs w:val="21"/>
              </w:rPr>
              <w:t>The</w:t>
            </w:r>
            <w:proofErr w:type="gramEnd"/>
            <w:r w:rsidRPr="00471132">
              <w:rPr>
                <w:rFonts w:ascii="Arial" w:eastAsia="Arial" w:hAnsi="Arial" w:cs="Arial"/>
                <w:i/>
                <w:color w:val="131313"/>
                <w:position w:val="1"/>
                <w:sz w:val="24"/>
                <w:szCs w:val="21"/>
              </w:rPr>
              <w:t xml:space="preserve"> Parent Project</w:t>
            </w: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 training to at least 270 parents of at-risk youth and out-of-control children.</w:t>
            </w:r>
          </w:p>
        </w:tc>
      </w:tr>
      <w:tr w:rsidR="00471132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59464846" w:rsidR="00471132" w:rsidRPr="000E51A2" w:rsidRDefault="00471132" w:rsidP="000E51A2">
            <w:pPr>
              <w:pStyle w:val="ListParagraph"/>
              <w:numPr>
                <w:ilvl w:val="0"/>
                <w:numId w:val="26"/>
              </w:numPr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Provide structured recreational opportunities, life skills and cultural/educational activities to at least 175 youth.</w:t>
            </w:r>
          </w:p>
        </w:tc>
      </w:tr>
      <w:tr w:rsidR="00471132" w14:paraId="7E7AAD0D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DBF16AD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6D5ADD5" w14:textId="7BD9E43A" w:rsidR="00471132" w:rsidRPr="000E51A2" w:rsidRDefault="00471132" w:rsidP="000E51A2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Provide 20 youth skilled employment, soft and hard job skills training, and academic instruction and support.</w:t>
            </w:r>
          </w:p>
        </w:tc>
      </w:tr>
      <w:tr w:rsidR="00471132" w14:paraId="770EB115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7BE6F24F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65EAAD7E" w14:textId="44A05E97" w:rsidR="00471132" w:rsidRDefault="00471132" w:rsidP="000E51A2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At least 85 percent of participants in the youth and/or parent programs will report positive changes in specific areas (e.g. having a relationship with a caring adult outside of the home and/or life skills (e.g. parental control, communication) after their participation.</w:t>
            </w:r>
          </w:p>
        </w:tc>
      </w:tr>
      <w:tr w:rsidR="00471132" w14:paraId="4E7A0755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5D992FD6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58CD13B6" w14:textId="3BC62E6D" w:rsidR="00471132" w:rsidRDefault="00471132" w:rsidP="000E51A2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Increase the core group of Saturday Teen Night teen volunteers by 15 percent.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021B6BAA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471132">
              <w:rPr>
                <w:rFonts w:ascii="Arial" w:hAnsi="Arial" w:cs="Arial"/>
                <w:sz w:val="24"/>
                <w:szCs w:val="24"/>
              </w:rPr>
              <w:t>-E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44844302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448443020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424428795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24428795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23620998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236209986"/>
          </w:p>
        </w:tc>
      </w:tr>
    </w:tbl>
    <w:p w14:paraId="24FB15A5" w14:textId="5F4F6821" w:rsidR="007C7CA7" w:rsidRDefault="007C7CA7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260B672B" w:rsidR="008402F6" w:rsidRPr="000E51A2" w:rsidRDefault="0047113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Reduce the number of probation violations and school discipline actions for youth who participate in the proposed programs and youth whose parents attend parenting classes.</w:t>
            </w:r>
          </w:p>
        </w:tc>
      </w:tr>
      <w:tr w:rsidR="000E51A2" w14:paraId="31D6AC3F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0E51A2" w:rsidRPr="005E62E8" w:rsidRDefault="000E51A2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1E5B88A7" w:rsidR="000E51A2" w:rsidRPr="000E51A2" w:rsidRDefault="00471132" w:rsidP="000E51A2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 the number of probation violations, arrests, </w:t>
            </w:r>
            <w:r w:rsidR="005311FE">
              <w:rPr>
                <w:rFonts w:ascii="Arial" w:hAnsi="Arial" w:cs="Arial"/>
                <w:sz w:val="24"/>
                <w:szCs w:val="24"/>
              </w:rPr>
              <w:t>office discipline referrals and suspensions among youth who</w:t>
            </w:r>
            <w:r>
              <w:rPr>
                <w:rFonts w:ascii="Arial" w:hAnsi="Arial" w:cs="Arial"/>
                <w:sz w:val="24"/>
                <w:szCs w:val="24"/>
              </w:rPr>
              <w:t>se parents complete parenting classes compared to youth whose parents do not complete parenting classes, for the six months after participation.</w:t>
            </w:r>
          </w:p>
        </w:tc>
      </w:tr>
      <w:tr w:rsidR="000E51A2" w14:paraId="1FAC3D1F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7D64F0FE" w:rsidR="000E51A2" w:rsidRPr="000E51A2" w:rsidRDefault="0047113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 probation violations and new arrests among youth in the Rancho Cielo employment training by 75 percent after program participation compared to before program participation. </w:t>
            </w:r>
            <w:r w:rsidR="000E51A2" w:rsidRPr="000E51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51A2" w14:paraId="4E24DCE1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6C33AB38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53C8772" w14:textId="470C87E6" w:rsidR="000E51A2" w:rsidRPr="000E51A2" w:rsidRDefault="0047113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Enable at least 75 percent of youth in the Rancho Cielo employment training to earn a high school diploma or GED and at least 50 percent to earn a program completion certificate.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920DD58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C7CA7">
              <w:rPr>
                <w:rFonts w:ascii="Arial" w:hAnsi="Arial" w:cs="Arial"/>
                <w:sz w:val="24"/>
                <w:szCs w:val="24"/>
              </w:rPr>
              <w:t>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97132895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971328958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96826001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968260016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10266028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102660289"/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5ECA55FF" w:rsidR="00EA02FA" w:rsidRPr="000E51A2" w:rsidRDefault="00471132" w:rsidP="000E51A2">
            <w:pPr>
              <w:tabs>
                <w:tab w:val="left" w:pos="2640"/>
              </w:tabs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Reduce violent crime in the City of Salinas.</w:t>
            </w:r>
          </w:p>
        </w:tc>
      </w:tr>
      <w:tr w:rsidR="007C7CA7" w14:paraId="7C1D8009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7C7CA7" w:rsidRPr="005E62E8" w:rsidRDefault="007C7CA7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2F9890E3" w:rsidR="007C7CA7" w:rsidRPr="001E0AF8" w:rsidRDefault="00471132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 Part I violent crime around the Rec Centers on Saturday nights by 5 percent each year compared to previous years.</w:t>
            </w:r>
          </w:p>
        </w:tc>
      </w:tr>
      <w:tr w:rsidR="007C7CA7" w14:paraId="11E0E1E5" w14:textId="77777777" w:rsidTr="0047113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2C5D55B" w14:textId="77777777" w:rsidR="007C7CA7" w:rsidRDefault="007C7CA7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A96AFBE" w14:textId="654F2DFE" w:rsidR="007C7CA7" w:rsidRPr="001E0AF8" w:rsidRDefault="00471132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 the number of shootings city-wide by 5 percent each year.</w:t>
            </w:r>
          </w:p>
        </w:tc>
      </w:tr>
      <w:tr w:rsidR="007C7CA7" w14:paraId="5BB6AAEE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47159DD" w14:textId="77777777" w:rsidR="007C7CA7" w:rsidRDefault="007C7CA7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B912EA2" w14:textId="478BF542" w:rsidR="007C7CA7" w:rsidRDefault="00471132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 the number of youth aged 10 to 24 involved in shootings by 5 percent each year.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220D8110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C7CA7">
              <w:rPr>
                <w:rFonts w:ascii="Arial" w:hAnsi="Arial" w:cs="Arial"/>
                <w:sz w:val="24"/>
                <w:szCs w:val="24"/>
              </w:rPr>
              <w:t>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63514697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635146973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6DCF118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36412138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364121388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31127556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311275568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Start w:id="0" w:name="_GoBack"/>
    <w:permStart w:id="1284074354" w:edGrp="everyone"/>
    <w:p w14:paraId="2FEED30E" w14:textId="77777777" w:rsidR="00270F14" w:rsidRPr="00270F14" w:rsidRDefault="005311FE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bookmarkEnd w:id="0"/>
      <w:permEnd w:id="1284074354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421826609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421826609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484422998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484422998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5E921C" w14:textId="77777777" w:rsidR="00270F14" w:rsidRPr="00270F14" w:rsidRDefault="005311FE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209746311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09746311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90857184" w:edGrp="everyone"/>
    <w:p w14:paraId="56CA27E0" w14:textId="0322B160" w:rsidR="00270F14" w:rsidRPr="00270F14" w:rsidRDefault="005311FE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90857184"/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permStart w:id="1702036382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702036382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883990355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883990355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986401744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986401744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64648386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4648386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1D5E0C76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014196969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14196969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66678823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66678823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422065899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422065899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698752255" w:edGrp="everyone"/>
    <w:p w14:paraId="55251D08" w14:textId="02F8DCE2" w:rsidR="00A01CC5" w:rsidRPr="004E4779" w:rsidRDefault="005311FE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698752255"/>
      <w:r w:rsidR="00A01CC5" w:rsidRPr="004E4779">
        <w:rPr>
          <w:rFonts w:ascii="Arial" w:hAnsi="Arial" w:cs="Arial"/>
          <w:sz w:val="24"/>
          <w:szCs w:val="24"/>
        </w:rPr>
        <w:t xml:space="preserve"> Yes  </w:t>
      </w:r>
      <w:permStart w:id="231150439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231150439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2142453380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142453380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1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236672119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36672119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461959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461959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848113981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848113981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2026117527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2026117527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1736114721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736114721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309947365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309947365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340187B8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A107AA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Angela </w:t>
            </w:r>
            <w:proofErr w:type="spellStart"/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Ardisana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default" r:id="rId10"/>
      <w:footerReference w:type="default" r:id="rId11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471132" w:rsidRDefault="00471132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471132" w:rsidRDefault="00471132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09490626" w:rsidR="00471132" w:rsidRPr="00AE5712" w:rsidRDefault="00471132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5311FE">
              <w:rPr>
                <w:rFonts w:ascii="Arial" w:hAnsi="Arial" w:cs="Arial"/>
                <w:bCs/>
                <w:noProof/>
                <w:sz w:val="18"/>
                <w:szCs w:val="20"/>
              </w:rPr>
              <w:t>5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5311FE">
              <w:rPr>
                <w:rFonts w:ascii="Arial" w:hAnsi="Arial" w:cs="Arial"/>
                <w:bCs/>
                <w:noProof/>
                <w:sz w:val="18"/>
                <w:szCs w:val="20"/>
              </w:rPr>
              <w:t>5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471132" w:rsidRDefault="005311FE">
            <w:pPr>
              <w:pStyle w:val="Footer"/>
              <w:jc w:val="right"/>
            </w:pPr>
          </w:p>
        </w:sdtContent>
      </w:sdt>
    </w:sdtContent>
  </w:sdt>
  <w:p w14:paraId="6C6B27EF" w14:textId="77777777" w:rsidR="00471132" w:rsidRPr="006E1129" w:rsidRDefault="00471132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471132" w:rsidRDefault="00471132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471132" w:rsidRDefault="00471132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5C162C53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59AF5487" w14:textId="77777777" w:rsidR="00471132" w:rsidRPr="004A095F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76C6A287" w14:textId="77777777" w:rsidR="00471132" w:rsidRDefault="0047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504A"/>
    <w:multiLevelType w:val="hybridMultilevel"/>
    <w:tmpl w:val="12FA68E0"/>
    <w:lvl w:ilvl="0" w:tplc="C0A650A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4AC"/>
    <w:multiLevelType w:val="hybridMultilevel"/>
    <w:tmpl w:val="34AC2298"/>
    <w:lvl w:ilvl="0" w:tplc="9BAA48DA">
      <w:start w:val="3"/>
      <w:numFmt w:val="upperLetter"/>
      <w:lvlText w:val="%1."/>
      <w:lvlJc w:val="left"/>
      <w:pPr>
        <w:ind w:left="720" w:hanging="360"/>
      </w:pPr>
      <w:rPr>
        <w:rFonts w:eastAsia="Arial" w:hint="default"/>
        <w:color w:val="13131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gnEoR2UHmQTnUJLVWd9AAn4yV77FWBGrWS4GRqb0Yc7pg76ub1Rrxl0gAiFSrR4b6XMDLzDld4nof8Xf5Vdg==" w:salt="Kv4xwNqlvEuyidF3RliRh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E51A2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113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48C2"/>
    <w:rsid w:val="005066C5"/>
    <w:rsid w:val="00507A12"/>
    <w:rsid w:val="0051407B"/>
    <w:rsid w:val="005148A4"/>
    <w:rsid w:val="00525E56"/>
    <w:rsid w:val="00527F7E"/>
    <w:rsid w:val="005311F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C7CA7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7AA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9536F"/>
    <w:rsid w:val="00AA2C19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7742E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CFA8-E8CC-4860-86C4-973A20D1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1002</Words>
  <Characters>5716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5</cp:revision>
  <dcterms:created xsi:type="dcterms:W3CDTF">2018-08-28T17:44:00Z</dcterms:created>
  <dcterms:modified xsi:type="dcterms:W3CDTF">2019-01-07T22:44:00Z</dcterms:modified>
</cp:coreProperties>
</file>