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F2E" w:rsidRDefault="001104CA" w:rsidP="003D26A2">
      <w:pPr>
        <w:rPr>
          <w:b/>
        </w:rPr>
      </w:pPr>
      <w:bookmarkStart w:id="0" w:name="_GoBack"/>
      <w:bookmarkEnd w:id="0"/>
      <w:r>
        <w:rPr>
          <w:noProof/>
        </w:rPr>
        <w:drawing>
          <wp:anchor distT="0" distB="0" distL="114300" distR="114300" simplePos="0" relativeHeight="251658240" behindDoc="1" locked="0" layoutInCell="1" allowOverlap="1">
            <wp:simplePos x="0" y="0"/>
            <wp:positionH relativeFrom="page">
              <wp:align>center</wp:align>
            </wp:positionH>
            <wp:positionV relativeFrom="page">
              <wp:posOffset>378823</wp:posOffset>
            </wp:positionV>
            <wp:extent cx="6858000" cy="1032921"/>
            <wp:effectExtent l="19050" t="0" r="0" b="0"/>
            <wp:wrapNone/>
            <wp:docPr id="1" name="Picture 1" descr="C:\Users\kally.pile\AppData\Local\Microsoft\Windows\Temporary Internet Files\Content.Word\New Picture (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lly.pile\AppData\Local\Microsoft\Windows\Temporary Internet Files\Content.Word\New Picture (32).png"/>
                    <pic:cNvPicPr>
                      <a:picLocks noChangeAspect="1" noChangeArrowheads="1"/>
                    </pic:cNvPicPr>
                  </pic:nvPicPr>
                  <pic:blipFill>
                    <a:blip r:embed="rId6" cstate="print"/>
                    <a:stretch>
                      <a:fillRect/>
                    </a:stretch>
                  </pic:blipFill>
                  <pic:spPr bwMode="auto">
                    <a:xfrm>
                      <a:off x="0" y="0"/>
                      <a:ext cx="6858000" cy="1032921"/>
                    </a:xfrm>
                    <a:prstGeom prst="rect">
                      <a:avLst/>
                    </a:prstGeom>
                    <a:noFill/>
                    <a:ln w="9525">
                      <a:noFill/>
                      <a:miter lim="800000"/>
                      <a:headEnd/>
                      <a:tailEnd/>
                    </a:ln>
                  </pic:spPr>
                </pic:pic>
              </a:graphicData>
            </a:graphic>
          </wp:anchor>
        </w:drawing>
      </w:r>
    </w:p>
    <w:p w:rsidR="00FF0F2E" w:rsidRDefault="00FF0F2E" w:rsidP="003D26A2">
      <w:pPr>
        <w:rPr>
          <w:b/>
        </w:rPr>
      </w:pPr>
    </w:p>
    <w:p w:rsidR="00043A8F" w:rsidRDefault="00FF0F2E" w:rsidP="00FF0F2E">
      <w:r w:rsidRPr="00FF0F2E">
        <w:rPr>
          <w:b/>
        </w:rPr>
        <w:t>DATE:</w:t>
      </w:r>
      <w:r w:rsidRPr="00FF0F2E">
        <w:rPr>
          <w:b/>
        </w:rPr>
        <w:tab/>
      </w:r>
      <w:r>
        <w:tab/>
      </w:r>
      <w:r w:rsidR="00B120CE">
        <w:t>April 24</w:t>
      </w:r>
      <w:r w:rsidR="00986AA8">
        <w:t>, 2015</w:t>
      </w:r>
    </w:p>
    <w:p w:rsidR="00F315B6" w:rsidRDefault="00F315B6" w:rsidP="00BF1D5E">
      <w:pPr>
        <w:spacing w:before="0" w:after="0"/>
        <w:rPr>
          <w:b/>
        </w:rPr>
      </w:pPr>
    </w:p>
    <w:p w:rsidR="001438B4" w:rsidRDefault="00DC56B9" w:rsidP="00BF1D5E">
      <w:pPr>
        <w:spacing w:before="0" w:after="0"/>
      </w:pPr>
      <w:r>
        <w:rPr>
          <w:b/>
        </w:rPr>
        <w:t>TO:</w:t>
      </w:r>
      <w:r>
        <w:rPr>
          <w:b/>
        </w:rPr>
        <w:tab/>
      </w:r>
      <w:r>
        <w:rPr>
          <w:b/>
        </w:rPr>
        <w:tab/>
      </w:r>
      <w:r>
        <w:rPr>
          <w:b/>
        </w:rPr>
        <w:tab/>
      </w:r>
      <w:r w:rsidR="00986AA8">
        <w:t>City Managers and County Administrative Officers</w:t>
      </w:r>
    </w:p>
    <w:p w:rsidR="001438B4" w:rsidRDefault="001438B4" w:rsidP="001438B4">
      <w:pPr>
        <w:spacing w:before="0" w:after="0"/>
        <w:ind w:left="1440" w:firstLine="720"/>
      </w:pPr>
      <w:r>
        <w:t>Chief Probation Officers of California (CPOC)</w:t>
      </w:r>
    </w:p>
    <w:p w:rsidR="003D26A2" w:rsidRDefault="00986AA8" w:rsidP="001438B4">
      <w:pPr>
        <w:spacing w:before="0" w:after="0"/>
        <w:ind w:left="1440" w:firstLine="720"/>
      </w:pPr>
      <w:r>
        <w:t>Current JABG Project Directors and Financial Officers</w:t>
      </w:r>
    </w:p>
    <w:p w:rsidR="00DC56B9" w:rsidRDefault="00DC56B9" w:rsidP="00BF1D5E">
      <w:pPr>
        <w:spacing w:before="0" w:after="0"/>
      </w:pPr>
    </w:p>
    <w:p w:rsidR="00DC56B9" w:rsidRDefault="00DC56B9" w:rsidP="00BF1D5E">
      <w:pPr>
        <w:spacing w:before="0" w:after="0"/>
      </w:pPr>
      <w:r>
        <w:rPr>
          <w:b/>
        </w:rPr>
        <w:t>FROM:</w:t>
      </w:r>
      <w:r>
        <w:rPr>
          <w:b/>
        </w:rPr>
        <w:tab/>
      </w:r>
      <w:r>
        <w:rPr>
          <w:b/>
        </w:rPr>
        <w:tab/>
      </w:r>
      <w:r>
        <w:t>Ka</w:t>
      </w:r>
      <w:r w:rsidR="0074000D">
        <w:t>thleen T. H</w:t>
      </w:r>
      <w:r>
        <w:t>oward</w:t>
      </w:r>
    </w:p>
    <w:p w:rsidR="0074000D" w:rsidRDefault="0074000D" w:rsidP="00BF1D5E">
      <w:pPr>
        <w:spacing w:before="0" w:after="0"/>
      </w:pPr>
      <w:r>
        <w:tab/>
      </w:r>
      <w:r>
        <w:tab/>
      </w:r>
      <w:r>
        <w:tab/>
        <w:t>Executive Director</w:t>
      </w:r>
    </w:p>
    <w:p w:rsidR="00761752" w:rsidRDefault="00761752" w:rsidP="00761752">
      <w:pPr>
        <w:spacing w:before="0" w:after="0"/>
        <w:ind w:left="1440" w:firstLine="720"/>
      </w:pPr>
      <w:r>
        <w:t>Board of State and Community Corrections</w:t>
      </w:r>
    </w:p>
    <w:p w:rsidR="00DC56B9" w:rsidRDefault="00DC56B9" w:rsidP="00BF1D5E">
      <w:pPr>
        <w:spacing w:before="0" w:after="0"/>
      </w:pPr>
    </w:p>
    <w:p w:rsidR="003D26A2" w:rsidRDefault="00DC56B9" w:rsidP="00DC56B9">
      <w:pPr>
        <w:ind w:left="2160" w:hanging="2160"/>
        <w:rPr>
          <w:b/>
        </w:rPr>
      </w:pPr>
      <w:r>
        <w:rPr>
          <w:b/>
        </w:rPr>
        <w:t>SUBJECT:</w:t>
      </w:r>
      <w:r>
        <w:rPr>
          <w:b/>
        </w:rPr>
        <w:tab/>
      </w:r>
      <w:r w:rsidR="00FF0F2E">
        <w:rPr>
          <w:b/>
        </w:rPr>
        <w:t>JUVEN</w:t>
      </w:r>
      <w:r w:rsidR="00986AA8">
        <w:rPr>
          <w:b/>
        </w:rPr>
        <w:t>ILE ACCOUNTABILITY BLOCK GRANT (JABG)</w:t>
      </w:r>
      <w:r w:rsidR="00FF0F2E">
        <w:rPr>
          <w:b/>
        </w:rPr>
        <w:t xml:space="preserve"> – NOTICE OF </w:t>
      </w:r>
      <w:r w:rsidR="00FF0F2E">
        <w:rPr>
          <w:b/>
        </w:rPr>
        <w:br/>
        <w:t>FUNDING AVAILABILITY (NOFA) AND RELEASE OF REQUEST FOR APPLICATION (RFA) FOR FISCAL YEAR (FY) 2015/16</w:t>
      </w:r>
    </w:p>
    <w:p w:rsidR="00DC56B9" w:rsidRDefault="00DC56B9" w:rsidP="00DC56B9">
      <w:pPr>
        <w:ind w:left="2160" w:hanging="2160"/>
        <w:rPr>
          <w:b/>
        </w:rPr>
      </w:pPr>
    </w:p>
    <w:p w:rsidR="00761752" w:rsidRPr="00761752" w:rsidRDefault="00DC56B9" w:rsidP="00761752">
      <w:pPr>
        <w:jc w:val="both"/>
      </w:pPr>
      <w:r>
        <w:t xml:space="preserve">The Board of State and Community Corrections (BSCC) is pleased to announce the </w:t>
      </w:r>
      <w:r w:rsidR="001E4EBA">
        <w:t xml:space="preserve">FY 2015/16 federal JABG funding for </w:t>
      </w:r>
      <w:r w:rsidR="001E4EBA" w:rsidRPr="001E4EBA">
        <w:t xml:space="preserve">those jurisdictions that are eligible to </w:t>
      </w:r>
      <w:r w:rsidR="001E4EBA">
        <w:t>receive a</w:t>
      </w:r>
      <w:r w:rsidR="001E4EBA" w:rsidRPr="001E4EBA">
        <w:t xml:space="preserve"> direct allocation</w:t>
      </w:r>
      <w:r w:rsidR="001E4EBA">
        <w:t xml:space="preserve">. </w:t>
      </w:r>
      <w:r w:rsidR="00F315B6">
        <w:t xml:space="preserve">It should be noted </w:t>
      </w:r>
      <w:r w:rsidR="006621F7">
        <w:t>that in</w:t>
      </w:r>
      <w:r w:rsidR="00761752" w:rsidRPr="00761752">
        <w:t xml:space="preserve"> 2013, </w:t>
      </w:r>
      <w:r w:rsidR="00761752">
        <w:t xml:space="preserve">the </w:t>
      </w:r>
      <w:r w:rsidR="00761752" w:rsidRPr="00761752">
        <w:t>O</w:t>
      </w:r>
      <w:r w:rsidR="00761752">
        <w:t xml:space="preserve">ffice of </w:t>
      </w:r>
      <w:r w:rsidR="00761752" w:rsidRPr="00761752">
        <w:t>J</w:t>
      </w:r>
      <w:r w:rsidR="00761752">
        <w:t xml:space="preserve">uvenile </w:t>
      </w:r>
      <w:r w:rsidR="00761752" w:rsidRPr="00761752">
        <w:t>J</w:t>
      </w:r>
      <w:r w:rsidR="00761752">
        <w:t xml:space="preserve">ustice and </w:t>
      </w:r>
      <w:r w:rsidR="00761752" w:rsidRPr="00761752">
        <w:t>D</w:t>
      </w:r>
      <w:r w:rsidR="00761752">
        <w:t xml:space="preserve">elinquency </w:t>
      </w:r>
      <w:r w:rsidR="00761752" w:rsidRPr="00761752">
        <w:t>P</w:t>
      </w:r>
      <w:r w:rsidR="00761752">
        <w:t>revention</w:t>
      </w:r>
      <w:r w:rsidR="00761752" w:rsidRPr="00761752">
        <w:t xml:space="preserve"> </w:t>
      </w:r>
      <w:r w:rsidR="001E4EBA">
        <w:t>discontinued federal funding of</w:t>
      </w:r>
      <w:r w:rsidR="00761752" w:rsidRPr="00761752">
        <w:t xml:space="preserve"> the J</w:t>
      </w:r>
      <w:r w:rsidR="00761752">
        <w:t>ABG program</w:t>
      </w:r>
      <w:r w:rsidR="00761752" w:rsidRPr="00761752">
        <w:t>. The BSCC has continued to fund</w:t>
      </w:r>
      <w:r w:rsidR="00761752" w:rsidRPr="00761752">
        <w:rPr>
          <w:b/>
        </w:rPr>
        <w:t xml:space="preserve"> </w:t>
      </w:r>
      <w:r w:rsidR="00761752" w:rsidRPr="00761752">
        <w:t xml:space="preserve">local jurisdictions that met the FY 2013/14 threshold for receiving a direct allocation for the last several years with a reserve of JABG funding from previous year allocations.  The balance of this reserve will fund current JABG recipients for the project period of July 1, 2015 to June 30, 2016.  Continued and/or reinstated funding will be dependent upon the outcome of future federal appropriations. </w:t>
      </w:r>
    </w:p>
    <w:p w:rsidR="00E217BB" w:rsidRDefault="001E4EBA" w:rsidP="00DC56B9">
      <w:pPr>
        <w:jc w:val="both"/>
      </w:pPr>
      <w:r>
        <w:t xml:space="preserve">Please see the table below for a list of </w:t>
      </w:r>
      <w:r w:rsidRPr="001E4EBA">
        <w:t>those jurisdictions that are eligible to apply for a direct allocation</w:t>
      </w:r>
      <w:r>
        <w:t xml:space="preserve">. </w:t>
      </w:r>
      <w:r w:rsidR="00466907">
        <w:t>Attached to</w:t>
      </w:r>
      <w:r>
        <w:t xml:space="preserve"> this </w:t>
      </w:r>
      <w:r w:rsidR="00D84B6A">
        <w:t>letter is the FY 2015/16 app</w:t>
      </w:r>
      <w:r w:rsidR="00466907">
        <w:t xml:space="preserve">lication packet. </w:t>
      </w:r>
      <w:r w:rsidR="00E217BB">
        <w:t xml:space="preserve">The application packet can also be accessed from the BSCC website at </w:t>
      </w:r>
      <w:hyperlink r:id="rId7" w:history="1">
        <w:r w:rsidR="00E217BB" w:rsidRPr="006068C8">
          <w:rPr>
            <w:rStyle w:val="Hyperlink"/>
          </w:rPr>
          <w:t>http://www.bscc.ca.gov/</w:t>
        </w:r>
      </w:hyperlink>
      <w:r w:rsidR="00E217BB">
        <w:t>.</w:t>
      </w:r>
    </w:p>
    <w:p w:rsidR="00E217BB" w:rsidRDefault="00E217BB" w:rsidP="00DC56B9">
      <w:pPr>
        <w:jc w:val="both"/>
      </w:pPr>
      <w:r>
        <w:t>The FY 2015/16 application will be similar in format to that of last year’s application document.  The funding cycle for this program is a 12-month period beginning July 1, 2015 and ending</w:t>
      </w:r>
      <w:r w:rsidR="00D84B6A">
        <w:br/>
      </w:r>
      <w:r>
        <w:t>June 30, 2016.</w:t>
      </w:r>
    </w:p>
    <w:p w:rsidR="00632227" w:rsidRDefault="00D84B6A" w:rsidP="00DC56B9">
      <w:pPr>
        <w:jc w:val="both"/>
      </w:pPr>
      <w:r>
        <w:t xml:space="preserve">As in previous years, </w:t>
      </w:r>
      <w:r w:rsidR="00E217BB">
        <w:t xml:space="preserve">a qualifying unit of local government may waive its right to </w:t>
      </w:r>
      <w:r>
        <w:t>a direct subgrant award and req</w:t>
      </w:r>
      <w:r w:rsidR="00E217BB">
        <w:t>uest that the funds be awarded to, and expended for its</w:t>
      </w:r>
      <w:r>
        <w:t xml:space="preserve"> benefit by, a larger or conti</w:t>
      </w:r>
      <w:r w:rsidR="00E217BB">
        <w:t>g</w:t>
      </w:r>
      <w:r>
        <w:t>u</w:t>
      </w:r>
      <w:r w:rsidR="00E217BB">
        <w:t>ous unit of local government</w:t>
      </w:r>
      <w:r w:rsidR="00632227">
        <w:t>.</w:t>
      </w:r>
    </w:p>
    <w:p w:rsidR="00632227" w:rsidRDefault="00632227" w:rsidP="00DC56B9">
      <w:pPr>
        <w:jc w:val="both"/>
      </w:pPr>
      <w:r>
        <w:t>California’s State Advisory Committee on Juvenile Justice and Delinquency Preventio</w:t>
      </w:r>
      <w:r w:rsidR="00D84B6A">
        <w:t>n (SACJJDP), which ov</w:t>
      </w:r>
      <w:r>
        <w:t>ersees the use of federal funds administ</w:t>
      </w:r>
      <w:r w:rsidR="00D84B6A">
        <w:t>e</w:t>
      </w:r>
      <w:r>
        <w:t xml:space="preserve">red by </w:t>
      </w:r>
      <w:r w:rsidR="00D84B6A">
        <w:t xml:space="preserve">the </w:t>
      </w:r>
      <w:r>
        <w:t>BSCC, identified three priority</w:t>
      </w:r>
      <w:r w:rsidR="00D84B6A">
        <w:t xml:space="preserve"> areas in its new three-year St</w:t>
      </w:r>
      <w:r>
        <w:t xml:space="preserve">rategic Plan </w:t>
      </w:r>
      <w:r w:rsidR="00466907">
        <w:t xml:space="preserve">(2013-2016) </w:t>
      </w:r>
      <w:r w:rsidR="00D84B6A">
        <w:t>on which California is to focus its efforts.  The three prior</w:t>
      </w:r>
      <w:r>
        <w:t>ity areas are:  Re</w:t>
      </w:r>
      <w:r w:rsidR="00D84B6A">
        <w:t>ducing Racial and Ethnic Disparities (R.E.D.)</w:t>
      </w:r>
      <w:r>
        <w:t xml:space="preserve">; (2) Evidence-Based Practices; and (3) a strategy to support efforts to develop and strengthen services, programs and policies that promote positive outcomes for youth, their families, and </w:t>
      </w:r>
      <w:r>
        <w:lastRenderedPageBreak/>
        <w:t>communities.  The SACJJDP encourages J</w:t>
      </w:r>
      <w:r w:rsidR="00D84B6A">
        <w:t xml:space="preserve">ABG recipients to </w:t>
      </w:r>
      <w:r>
        <w:t>a</w:t>
      </w:r>
      <w:r w:rsidR="00D84B6A">
        <w:t>lig</w:t>
      </w:r>
      <w:r>
        <w:t>n the use of their d</w:t>
      </w:r>
      <w:r w:rsidR="00D84B6A">
        <w:t>ir</w:t>
      </w:r>
      <w:r>
        <w:t>e</w:t>
      </w:r>
      <w:r w:rsidR="00D84B6A">
        <w:t xml:space="preserve">ct allocation with the </w:t>
      </w:r>
      <w:r>
        <w:t>thre</w:t>
      </w:r>
      <w:r w:rsidR="00D84B6A">
        <w:t>e priority areas that are ident</w:t>
      </w:r>
      <w:r>
        <w:t>ified in the SACJJDP’s Strategic Plan.</w:t>
      </w:r>
    </w:p>
    <w:p w:rsidR="00632227" w:rsidRDefault="00632227" w:rsidP="00DC56B9">
      <w:pPr>
        <w:jc w:val="both"/>
      </w:pPr>
      <w:r>
        <w:t xml:space="preserve">Should you have questions regarding this funding notice, please contact the JABG Coordinator, Colleen Stoner, at (916) 324-9385 or by email at </w:t>
      </w:r>
      <w:hyperlink r:id="rId8" w:history="1">
        <w:r w:rsidRPr="006068C8">
          <w:rPr>
            <w:rStyle w:val="Hyperlink"/>
          </w:rPr>
          <w:t>colleen.stoner@bscc.ca.gov</w:t>
        </w:r>
      </w:hyperlink>
      <w:r>
        <w:t>.</w:t>
      </w:r>
    </w:p>
    <w:p w:rsidR="00632227" w:rsidRDefault="00632227" w:rsidP="00DC56B9">
      <w:pPr>
        <w:jc w:val="both"/>
      </w:pPr>
    </w:p>
    <w:p w:rsidR="00043A8F" w:rsidRDefault="002E2237" w:rsidP="00DC56B9">
      <w:pPr>
        <w:jc w:val="both"/>
      </w:pPr>
      <w:r>
        <w:t>Attachment</w:t>
      </w:r>
    </w:p>
    <w:p w:rsidR="002E2237" w:rsidRPr="002E2237" w:rsidRDefault="002E2237" w:rsidP="002E2237">
      <w:pPr>
        <w:spacing w:before="100" w:beforeAutospacing="1" w:after="100" w:afterAutospacing="1"/>
        <w:contextualSpacing/>
        <w:jc w:val="center"/>
        <w:rPr>
          <w:rFonts w:eastAsia="Times New Roman" w:cs="Arial"/>
          <w:b/>
          <w:bCs/>
          <w:sz w:val="20"/>
        </w:rPr>
      </w:pPr>
      <w:r w:rsidRPr="002E2237">
        <w:rPr>
          <w:rFonts w:eastAsia="Times New Roman" w:cs="Arial"/>
          <w:b/>
          <w:bCs/>
          <w:sz w:val="20"/>
        </w:rPr>
        <w:t xml:space="preserve">(THE 2015/16 DIRECT ALLOCATIONS ARE BASED ON CALIFORNIA’S 2013/14 FEDERAL ALLOCATION) </w:t>
      </w:r>
    </w:p>
    <w:p w:rsidR="002E2237" w:rsidRPr="002E2237" w:rsidRDefault="002E2237" w:rsidP="002E2237">
      <w:pPr>
        <w:spacing w:before="100" w:beforeAutospacing="1" w:after="100" w:afterAutospacing="1"/>
        <w:contextualSpacing/>
        <w:jc w:val="center"/>
        <w:rPr>
          <w:rFonts w:eastAsia="Times New Roman" w:cs="Arial"/>
          <w:b/>
          <w:bCs/>
          <w:sz w:val="22"/>
        </w:rPr>
      </w:pPr>
    </w:p>
    <w:tbl>
      <w:tblPr>
        <w:tblW w:w="9912" w:type="dxa"/>
        <w:jc w:val="center"/>
        <w:tblLook w:val="04A0" w:firstRow="1" w:lastRow="0" w:firstColumn="1" w:lastColumn="0" w:noHBand="0" w:noVBand="1"/>
      </w:tblPr>
      <w:tblGrid>
        <w:gridCol w:w="3293"/>
        <w:gridCol w:w="1659"/>
        <w:gridCol w:w="2200"/>
        <w:gridCol w:w="1340"/>
        <w:gridCol w:w="1420"/>
      </w:tblGrid>
      <w:tr w:rsidR="002E2237" w:rsidRPr="002E2237" w:rsidTr="002E2237">
        <w:trPr>
          <w:trHeight w:val="975"/>
          <w:jc w:val="center"/>
        </w:trPr>
        <w:tc>
          <w:tcPr>
            <w:tcW w:w="3293" w:type="dxa"/>
            <w:tcBorders>
              <w:top w:val="single" w:sz="8" w:space="0" w:color="auto"/>
              <w:left w:val="single" w:sz="8" w:space="0" w:color="auto"/>
              <w:bottom w:val="single" w:sz="8" w:space="0" w:color="auto"/>
              <w:right w:val="single" w:sz="8" w:space="0" w:color="auto"/>
            </w:tcBorders>
            <w:shd w:val="clear" w:color="000000" w:fill="8DB4E3"/>
            <w:noWrap/>
            <w:vAlign w:val="center"/>
            <w:hideMark/>
          </w:tcPr>
          <w:p w:rsidR="002E2237" w:rsidRPr="002E2237" w:rsidRDefault="002E2237" w:rsidP="002E2237">
            <w:pPr>
              <w:spacing w:before="0" w:after="0"/>
              <w:jc w:val="center"/>
              <w:rPr>
                <w:rFonts w:eastAsia="Times New Roman" w:cs="Times New Roman"/>
                <w:b/>
                <w:bCs/>
                <w:color w:val="000000"/>
                <w:sz w:val="22"/>
              </w:rPr>
            </w:pPr>
            <w:r w:rsidRPr="002E2237">
              <w:rPr>
                <w:rFonts w:eastAsia="Times New Roman" w:cs="Times New Roman"/>
                <w:b/>
                <w:bCs/>
                <w:color w:val="000000"/>
                <w:sz w:val="22"/>
              </w:rPr>
              <w:t>LOCALITY</w:t>
            </w:r>
          </w:p>
        </w:tc>
        <w:tc>
          <w:tcPr>
            <w:tcW w:w="1659" w:type="dxa"/>
            <w:tcBorders>
              <w:top w:val="single" w:sz="8" w:space="0" w:color="auto"/>
              <w:left w:val="nil"/>
              <w:bottom w:val="single" w:sz="8" w:space="0" w:color="auto"/>
              <w:right w:val="single" w:sz="8" w:space="0" w:color="auto"/>
            </w:tcBorders>
            <w:shd w:val="clear" w:color="000000" w:fill="8DB4E3"/>
            <w:vAlign w:val="center"/>
            <w:hideMark/>
          </w:tcPr>
          <w:p w:rsidR="002E2237" w:rsidRPr="002E2237" w:rsidRDefault="002E2237" w:rsidP="002E2237">
            <w:pPr>
              <w:spacing w:before="0" w:after="0"/>
              <w:jc w:val="center"/>
              <w:rPr>
                <w:rFonts w:eastAsia="Times New Roman" w:cs="Times New Roman"/>
                <w:b/>
                <w:bCs/>
                <w:color w:val="000000"/>
                <w:sz w:val="22"/>
              </w:rPr>
            </w:pPr>
            <w:r w:rsidRPr="002E2237">
              <w:rPr>
                <w:rFonts w:eastAsia="Times New Roman" w:cs="Times New Roman"/>
                <w:b/>
                <w:bCs/>
                <w:color w:val="000000"/>
                <w:sz w:val="22"/>
              </w:rPr>
              <w:t>DIRECT ALLOCATION</w:t>
            </w:r>
          </w:p>
        </w:tc>
        <w:tc>
          <w:tcPr>
            <w:tcW w:w="2200" w:type="dxa"/>
            <w:tcBorders>
              <w:top w:val="single" w:sz="8" w:space="0" w:color="auto"/>
              <w:left w:val="nil"/>
              <w:bottom w:val="single" w:sz="8" w:space="0" w:color="auto"/>
              <w:right w:val="single" w:sz="8" w:space="0" w:color="auto"/>
            </w:tcBorders>
            <w:shd w:val="clear" w:color="000000" w:fill="8DB4E3"/>
            <w:vAlign w:val="center"/>
            <w:hideMark/>
          </w:tcPr>
          <w:p w:rsidR="002E2237" w:rsidRPr="002E2237" w:rsidRDefault="002E2237" w:rsidP="002E2237">
            <w:pPr>
              <w:spacing w:before="0" w:after="0"/>
              <w:jc w:val="center"/>
              <w:rPr>
                <w:rFonts w:eastAsia="Times New Roman" w:cs="Times New Roman"/>
                <w:b/>
                <w:bCs/>
                <w:color w:val="000000"/>
                <w:sz w:val="22"/>
              </w:rPr>
            </w:pPr>
            <w:r w:rsidRPr="002E2237">
              <w:rPr>
                <w:rFonts w:eastAsia="Times New Roman" w:cs="Times New Roman"/>
                <w:b/>
                <w:bCs/>
                <w:color w:val="000000"/>
                <w:sz w:val="22"/>
              </w:rPr>
              <w:t>DIRECT ALLOCATION WITH INCREASE</w:t>
            </w:r>
          </w:p>
        </w:tc>
        <w:tc>
          <w:tcPr>
            <w:tcW w:w="1340" w:type="dxa"/>
            <w:tcBorders>
              <w:top w:val="single" w:sz="8" w:space="0" w:color="auto"/>
              <w:left w:val="nil"/>
              <w:bottom w:val="single" w:sz="8" w:space="0" w:color="auto"/>
              <w:right w:val="single" w:sz="8" w:space="0" w:color="auto"/>
            </w:tcBorders>
            <w:shd w:val="clear" w:color="000000" w:fill="8DB4E3"/>
            <w:vAlign w:val="center"/>
            <w:hideMark/>
          </w:tcPr>
          <w:p w:rsidR="002E2237" w:rsidRPr="002E2237" w:rsidRDefault="002E2237" w:rsidP="002E2237">
            <w:pPr>
              <w:spacing w:before="0" w:after="0"/>
              <w:jc w:val="center"/>
              <w:rPr>
                <w:rFonts w:eastAsia="Times New Roman" w:cs="Times New Roman"/>
                <w:b/>
                <w:bCs/>
                <w:color w:val="000000"/>
                <w:sz w:val="22"/>
              </w:rPr>
            </w:pPr>
            <w:r w:rsidRPr="002E2237">
              <w:rPr>
                <w:rFonts w:eastAsia="Times New Roman" w:cs="Times New Roman"/>
                <w:b/>
                <w:bCs/>
                <w:color w:val="000000"/>
                <w:sz w:val="22"/>
              </w:rPr>
              <w:t>10% CASH MATCH</w:t>
            </w:r>
          </w:p>
        </w:tc>
        <w:tc>
          <w:tcPr>
            <w:tcW w:w="1420" w:type="dxa"/>
            <w:tcBorders>
              <w:top w:val="single" w:sz="8" w:space="0" w:color="auto"/>
              <w:left w:val="nil"/>
              <w:bottom w:val="single" w:sz="8" w:space="0" w:color="auto"/>
              <w:right w:val="single" w:sz="8" w:space="0" w:color="auto"/>
            </w:tcBorders>
            <w:shd w:val="clear" w:color="000000" w:fill="8DB4E3"/>
            <w:vAlign w:val="center"/>
            <w:hideMark/>
          </w:tcPr>
          <w:p w:rsidR="002E2237" w:rsidRPr="002E2237" w:rsidRDefault="002E2237" w:rsidP="002E2237">
            <w:pPr>
              <w:spacing w:before="0" w:after="0"/>
              <w:jc w:val="center"/>
              <w:rPr>
                <w:rFonts w:eastAsia="Times New Roman" w:cs="Times New Roman"/>
                <w:b/>
                <w:bCs/>
                <w:color w:val="000000"/>
                <w:sz w:val="22"/>
              </w:rPr>
            </w:pPr>
            <w:r w:rsidRPr="002E2237">
              <w:rPr>
                <w:rFonts w:eastAsia="Times New Roman" w:cs="Times New Roman"/>
                <w:b/>
                <w:bCs/>
                <w:color w:val="000000"/>
                <w:sz w:val="22"/>
              </w:rPr>
              <w:t>TOTAL PROJECT COST</w:t>
            </w:r>
          </w:p>
        </w:tc>
      </w:tr>
      <w:tr w:rsidR="002E2237" w:rsidRPr="002E2237" w:rsidTr="002E2237">
        <w:trPr>
          <w:trHeight w:val="315"/>
          <w:jc w:val="center"/>
        </w:trPr>
        <w:tc>
          <w:tcPr>
            <w:tcW w:w="3293" w:type="dxa"/>
            <w:tcBorders>
              <w:top w:val="nil"/>
              <w:left w:val="single" w:sz="8" w:space="0" w:color="auto"/>
              <w:bottom w:val="single" w:sz="8" w:space="0" w:color="auto"/>
              <w:right w:val="single" w:sz="8" w:space="0" w:color="auto"/>
            </w:tcBorders>
            <w:noWrap/>
            <w:vAlign w:val="center"/>
            <w:hideMark/>
          </w:tcPr>
          <w:p w:rsidR="002E2237" w:rsidRPr="002E2237" w:rsidRDefault="002E2237" w:rsidP="002E2237">
            <w:pPr>
              <w:spacing w:before="0" w:after="0"/>
              <w:rPr>
                <w:rFonts w:eastAsia="Times New Roman" w:cs="Times New Roman"/>
                <w:color w:val="000000"/>
                <w:sz w:val="22"/>
              </w:rPr>
            </w:pPr>
            <w:r w:rsidRPr="002E2237">
              <w:rPr>
                <w:rFonts w:eastAsia="Times New Roman" w:cs="Times New Roman"/>
                <w:b/>
                <w:bCs/>
                <w:color w:val="000000"/>
                <w:sz w:val="22"/>
              </w:rPr>
              <w:t>Alameda</w:t>
            </w:r>
            <w:r w:rsidRPr="002E2237">
              <w:rPr>
                <w:rFonts w:eastAsia="Times New Roman" w:cs="Times New Roman"/>
                <w:color w:val="000000"/>
                <w:sz w:val="22"/>
              </w:rPr>
              <w:t>, County of</w:t>
            </w:r>
          </w:p>
        </w:tc>
        <w:tc>
          <w:tcPr>
            <w:tcW w:w="1659"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$38,492</w:t>
            </w:r>
          </w:p>
        </w:tc>
        <w:tc>
          <w:tcPr>
            <w:tcW w:w="2200"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$83,681</w:t>
            </w:r>
          </w:p>
        </w:tc>
        <w:tc>
          <w:tcPr>
            <w:tcW w:w="134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$9,298</w:t>
            </w:r>
          </w:p>
        </w:tc>
        <w:tc>
          <w:tcPr>
            <w:tcW w:w="142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$92,979</w:t>
            </w:r>
          </w:p>
        </w:tc>
      </w:tr>
      <w:tr w:rsidR="002E2237" w:rsidRPr="002E2237" w:rsidTr="002E2237">
        <w:trPr>
          <w:trHeight w:val="315"/>
          <w:jc w:val="center"/>
        </w:trPr>
        <w:tc>
          <w:tcPr>
            <w:tcW w:w="3293" w:type="dxa"/>
            <w:tcBorders>
              <w:top w:val="nil"/>
              <w:left w:val="single" w:sz="8" w:space="0" w:color="auto"/>
              <w:bottom w:val="single" w:sz="8" w:space="0" w:color="auto"/>
              <w:right w:val="single" w:sz="8" w:space="0" w:color="auto"/>
            </w:tcBorders>
            <w:noWrap/>
            <w:vAlign w:val="center"/>
            <w:hideMark/>
          </w:tcPr>
          <w:p w:rsidR="002E2237" w:rsidRPr="002E2237" w:rsidRDefault="002E2237" w:rsidP="002E2237">
            <w:pPr>
              <w:spacing w:before="0" w:after="0"/>
              <w:rPr>
                <w:rFonts w:eastAsia="Times New Roman" w:cs="Times New Roman"/>
                <w:color w:val="000000"/>
                <w:sz w:val="22"/>
              </w:rPr>
            </w:pPr>
            <w:r w:rsidRPr="002E2237">
              <w:rPr>
                <w:rFonts w:eastAsia="Times New Roman" w:cs="Times New Roman"/>
                <w:b/>
                <w:bCs/>
                <w:color w:val="000000"/>
                <w:sz w:val="22"/>
              </w:rPr>
              <w:t>Contra Costa</w:t>
            </w:r>
            <w:r w:rsidRPr="002E2237">
              <w:rPr>
                <w:rFonts w:eastAsia="Times New Roman" w:cs="Times New Roman"/>
                <w:color w:val="000000"/>
                <w:sz w:val="22"/>
              </w:rPr>
              <w:t>, County of</w:t>
            </w:r>
          </w:p>
        </w:tc>
        <w:tc>
          <w:tcPr>
            <w:tcW w:w="1659"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$22,347</w:t>
            </w:r>
          </w:p>
        </w:tc>
        <w:tc>
          <w:tcPr>
            <w:tcW w:w="2200"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$48,582</w:t>
            </w:r>
          </w:p>
        </w:tc>
        <w:tc>
          <w:tcPr>
            <w:tcW w:w="134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$5,398</w:t>
            </w:r>
          </w:p>
        </w:tc>
        <w:tc>
          <w:tcPr>
            <w:tcW w:w="142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$53,980</w:t>
            </w:r>
          </w:p>
        </w:tc>
      </w:tr>
      <w:tr w:rsidR="002E2237" w:rsidRPr="002E2237" w:rsidTr="002E2237">
        <w:trPr>
          <w:trHeight w:val="315"/>
          <w:jc w:val="center"/>
        </w:trPr>
        <w:tc>
          <w:tcPr>
            <w:tcW w:w="3293" w:type="dxa"/>
            <w:tcBorders>
              <w:top w:val="nil"/>
              <w:left w:val="single" w:sz="8" w:space="0" w:color="auto"/>
              <w:bottom w:val="single" w:sz="8" w:space="0" w:color="auto"/>
              <w:right w:val="single" w:sz="8" w:space="0" w:color="auto"/>
            </w:tcBorders>
            <w:noWrap/>
            <w:vAlign w:val="center"/>
            <w:hideMark/>
          </w:tcPr>
          <w:p w:rsidR="002E2237" w:rsidRPr="002E2237" w:rsidRDefault="002E2237" w:rsidP="002E2237">
            <w:pPr>
              <w:spacing w:before="0" w:after="0"/>
              <w:rPr>
                <w:rFonts w:eastAsia="Times New Roman" w:cs="Times New Roman"/>
                <w:color w:val="000000"/>
                <w:sz w:val="22"/>
              </w:rPr>
            </w:pPr>
            <w:r w:rsidRPr="002E2237">
              <w:rPr>
                <w:rFonts w:eastAsia="Times New Roman" w:cs="Times New Roman"/>
                <w:b/>
                <w:bCs/>
                <w:color w:val="000000"/>
                <w:sz w:val="22"/>
              </w:rPr>
              <w:t>Fresno</w:t>
            </w:r>
            <w:r w:rsidRPr="002E2237">
              <w:rPr>
                <w:rFonts w:eastAsia="Times New Roman" w:cs="Times New Roman"/>
                <w:color w:val="000000"/>
                <w:sz w:val="22"/>
              </w:rPr>
              <w:t>, County of</w:t>
            </w:r>
          </w:p>
        </w:tc>
        <w:tc>
          <w:tcPr>
            <w:tcW w:w="1659"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$19,674</w:t>
            </w:r>
          </w:p>
        </w:tc>
        <w:tc>
          <w:tcPr>
            <w:tcW w:w="2200"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$42,771</w:t>
            </w:r>
          </w:p>
        </w:tc>
        <w:tc>
          <w:tcPr>
            <w:tcW w:w="134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$4,752</w:t>
            </w:r>
          </w:p>
        </w:tc>
        <w:tc>
          <w:tcPr>
            <w:tcW w:w="142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$47,523</w:t>
            </w:r>
          </w:p>
        </w:tc>
      </w:tr>
      <w:tr w:rsidR="002E2237" w:rsidRPr="002E2237" w:rsidTr="002E2237">
        <w:trPr>
          <w:trHeight w:val="315"/>
          <w:jc w:val="center"/>
        </w:trPr>
        <w:tc>
          <w:tcPr>
            <w:tcW w:w="3293" w:type="dxa"/>
            <w:tcBorders>
              <w:top w:val="nil"/>
              <w:left w:val="single" w:sz="8" w:space="0" w:color="auto"/>
              <w:bottom w:val="single" w:sz="8" w:space="0" w:color="auto"/>
              <w:right w:val="single" w:sz="8" w:space="0" w:color="auto"/>
            </w:tcBorders>
            <w:noWrap/>
            <w:vAlign w:val="center"/>
            <w:hideMark/>
          </w:tcPr>
          <w:p w:rsidR="002E2237" w:rsidRPr="002E2237" w:rsidRDefault="002E2237" w:rsidP="002E2237">
            <w:pPr>
              <w:spacing w:before="0" w:after="0"/>
              <w:rPr>
                <w:rFonts w:eastAsia="Times New Roman" w:cs="Times New Roman"/>
                <w:color w:val="000000"/>
                <w:sz w:val="22"/>
              </w:rPr>
            </w:pPr>
            <w:r w:rsidRPr="002E2237">
              <w:rPr>
                <w:rFonts w:eastAsia="Times New Roman" w:cs="Times New Roman"/>
                <w:b/>
                <w:bCs/>
                <w:color w:val="000000"/>
                <w:sz w:val="22"/>
              </w:rPr>
              <w:t>Kern</w:t>
            </w:r>
            <w:r w:rsidRPr="002E2237">
              <w:rPr>
                <w:rFonts w:eastAsia="Times New Roman" w:cs="Times New Roman"/>
                <w:color w:val="000000"/>
                <w:sz w:val="22"/>
              </w:rPr>
              <w:t>, County of</w:t>
            </w:r>
          </w:p>
        </w:tc>
        <w:tc>
          <w:tcPr>
            <w:tcW w:w="1659"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$22,000</w:t>
            </w:r>
          </w:p>
        </w:tc>
        <w:tc>
          <w:tcPr>
            <w:tcW w:w="2200"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$47,827</w:t>
            </w:r>
          </w:p>
        </w:tc>
        <w:tc>
          <w:tcPr>
            <w:tcW w:w="134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$5,314</w:t>
            </w:r>
          </w:p>
        </w:tc>
        <w:tc>
          <w:tcPr>
            <w:tcW w:w="142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$53,141</w:t>
            </w:r>
          </w:p>
        </w:tc>
      </w:tr>
      <w:tr w:rsidR="002E2237" w:rsidRPr="002E2237" w:rsidTr="002E2237">
        <w:trPr>
          <w:trHeight w:val="315"/>
          <w:jc w:val="center"/>
        </w:trPr>
        <w:tc>
          <w:tcPr>
            <w:tcW w:w="3293" w:type="dxa"/>
            <w:tcBorders>
              <w:top w:val="nil"/>
              <w:left w:val="single" w:sz="8" w:space="0" w:color="auto"/>
              <w:bottom w:val="single" w:sz="8" w:space="0" w:color="auto"/>
              <w:right w:val="single" w:sz="8" w:space="0" w:color="auto"/>
            </w:tcBorders>
            <w:noWrap/>
            <w:vAlign w:val="center"/>
            <w:hideMark/>
          </w:tcPr>
          <w:p w:rsidR="002E2237" w:rsidRPr="002E2237" w:rsidRDefault="002E2237" w:rsidP="002E2237">
            <w:pPr>
              <w:spacing w:before="0" w:after="0"/>
              <w:rPr>
                <w:rFonts w:eastAsia="Times New Roman" w:cs="Times New Roman"/>
                <w:color w:val="000000"/>
                <w:sz w:val="22"/>
              </w:rPr>
            </w:pPr>
            <w:r w:rsidRPr="002E2237">
              <w:rPr>
                <w:rFonts w:eastAsia="Times New Roman" w:cs="Times New Roman"/>
                <w:b/>
                <w:bCs/>
                <w:color w:val="000000"/>
                <w:sz w:val="22"/>
              </w:rPr>
              <w:t>Los Angeles</w:t>
            </w:r>
            <w:r w:rsidRPr="002E2237">
              <w:rPr>
                <w:rFonts w:eastAsia="Times New Roman" w:cs="Times New Roman"/>
                <w:color w:val="000000"/>
                <w:sz w:val="22"/>
              </w:rPr>
              <w:t>, City of</w:t>
            </w:r>
          </w:p>
        </w:tc>
        <w:tc>
          <w:tcPr>
            <w:tcW w:w="1659"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$50,406</w:t>
            </w:r>
          </w:p>
        </w:tc>
        <w:tc>
          <w:tcPr>
            <w:tcW w:w="2200"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$109,581</w:t>
            </w:r>
          </w:p>
        </w:tc>
        <w:tc>
          <w:tcPr>
            <w:tcW w:w="134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$12,176</w:t>
            </w:r>
          </w:p>
        </w:tc>
        <w:tc>
          <w:tcPr>
            <w:tcW w:w="142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$121,757</w:t>
            </w:r>
          </w:p>
        </w:tc>
      </w:tr>
      <w:tr w:rsidR="002E2237" w:rsidRPr="002E2237" w:rsidTr="002E2237">
        <w:trPr>
          <w:trHeight w:val="315"/>
          <w:jc w:val="center"/>
        </w:trPr>
        <w:tc>
          <w:tcPr>
            <w:tcW w:w="3293" w:type="dxa"/>
            <w:tcBorders>
              <w:top w:val="nil"/>
              <w:left w:val="single" w:sz="8" w:space="0" w:color="auto"/>
              <w:bottom w:val="single" w:sz="8" w:space="0" w:color="auto"/>
              <w:right w:val="single" w:sz="8" w:space="0" w:color="auto"/>
            </w:tcBorders>
            <w:noWrap/>
            <w:vAlign w:val="center"/>
            <w:hideMark/>
          </w:tcPr>
          <w:p w:rsidR="002E2237" w:rsidRPr="002E2237" w:rsidRDefault="002E2237" w:rsidP="002E2237">
            <w:pPr>
              <w:spacing w:before="0" w:after="0"/>
              <w:rPr>
                <w:rFonts w:eastAsia="Times New Roman" w:cs="Times New Roman"/>
                <w:color w:val="000000"/>
                <w:sz w:val="22"/>
              </w:rPr>
            </w:pPr>
            <w:r w:rsidRPr="002E2237">
              <w:rPr>
                <w:rFonts w:eastAsia="Times New Roman" w:cs="Times New Roman"/>
                <w:b/>
                <w:bCs/>
                <w:color w:val="000000"/>
                <w:sz w:val="22"/>
              </w:rPr>
              <w:t>Los Angeles</w:t>
            </w:r>
            <w:r w:rsidRPr="002E2237">
              <w:rPr>
                <w:rFonts w:eastAsia="Times New Roman" w:cs="Times New Roman"/>
                <w:color w:val="000000"/>
                <w:sz w:val="22"/>
              </w:rPr>
              <w:t>, County of</w:t>
            </w:r>
          </w:p>
        </w:tc>
        <w:tc>
          <w:tcPr>
            <w:tcW w:w="1659"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$251,425</w:t>
            </w:r>
          </w:p>
        </w:tc>
        <w:tc>
          <w:tcPr>
            <w:tcW w:w="2200"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$546,592</w:t>
            </w:r>
          </w:p>
        </w:tc>
        <w:tc>
          <w:tcPr>
            <w:tcW w:w="134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$60,732</w:t>
            </w:r>
          </w:p>
        </w:tc>
        <w:tc>
          <w:tcPr>
            <w:tcW w:w="142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$607,324</w:t>
            </w:r>
          </w:p>
        </w:tc>
      </w:tr>
      <w:tr w:rsidR="002E2237" w:rsidRPr="002E2237" w:rsidTr="002E2237">
        <w:trPr>
          <w:trHeight w:val="315"/>
          <w:jc w:val="center"/>
        </w:trPr>
        <w:tc>
          <w:tcPr>
            <w:tcW w:w="3293" w:type="dxa"/>
            <w:tcBorders>
              <w:top w:val="nil"/>
              <w:left w:val="single" w:sz="8" w:space="0" w:color="auto"/>
              <w:bottom w:val="single" w:sz="8" w:space="0" w:color="auto"/>
              <w:right w:val="single" w:sz="8" w:space="0" w:color="auto"/>
            </w:tcBorders>
            <w:noWrap/>
            <w:vAlign w:val="center"/>
            <w:hideMark/>
          </w:tcPr>
          <w:p w:rsidR="002E2237" w:rsidRPr="002E2237" w:rsidRDefault="002E2237" w:rsidP="002E2237">
            <w:pPr>
              <w:spacing w:before="0" w:after="0"/>
              <w:rPr>
                <w:rFonts w:eastAsia="Times New Roman" w:cs="Times New Roman"/>
                <w:color w:val="000000"/>
                <w:sz w:val="22"/>
              </w:rPr>
            </w:pPr>
            <w:r w:rsidRPr="002E2237">
              <w:rPr>
                <w:rFonts w:eastAsia="Times New Roman" w:cs="Times New Roman"/>
                <w:b/>
                <w:bCs/>
                <w:color w:val="000000"/>
                <w:sz w:val="22"/>
              </w:rPr>
              <w:t>Monterey</w:t>
            </w:r>
            <w:r w:rsidRPr="002E2237">
              <w:rPr>
                <w:rFonts w:eastAsia="Times New Roman" w:cs="Times New Roman"/>
                <w:color w:val="000000"/>
                <w:sz w:val="22"/>
              </w:rPr>
              <w:t>, County of</w:t>
            </w:r>
          </w:p>
        </w:tc>
        <w:tc>
          <w:tcPr>
            <w:tcW w:w="1659"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$10,254</w:t>
            </w:r>
          </w:p>
        </w:tc>
        <w:tc>
          <w:tcPr>
            <w:tcW w:w="2200"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$22,292</w:t>
            </w:r>
          </w:p>
        </w:tc>
        <w:tc>
          <w:tcPr>
            <w:tcW w:w="134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$2,477</w:t>
            </w:r>
          </w:p>
        </w:tc>
        <w:tc>
          <w:tcPr>
            <w:tcW w:w="142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$24,769</w:t>
            </w:r>
          </w:p>
        </w:tc>
      </w:tr>
      <w:tr w:rsidR="002E2237" w:rsidRPr="002E2237" w:rsidTr="002E2237">
        <w:trPr>
          <w:trHeight w:val="315"/>
          <w:jc w:val="center"/>
        </w:trPr>
        <w:tc>
          <w:tcPr>
            <w:tcW w:w="3293" w:type="dxa"/>
            <w:tcBorders>
              <w:top w:val="nil"/>
              <w:left w:val="single" w:sz="8" w:space="0" w:color="auto"/>
              <w:bottom w:val="single" w:sz="8" w:space="0" w:color="auto"/>
              <w:right w:val="single" w:sz="8" w:space="0" w:color="auto"/>
            </w:tcBorders>
            <w:noWrap/>
            <w:vAlign w:val="center"/>
            <w:hideMark/>
          </w:tcPr>
          <w:p w:rsidR="002E2237" w:rsidRPr="002E2237" w:rsidRDefault="002E2237" w:rsidP="002E2237">
            <w:pPr>
              <w:spacing w:before="0" w:after="0"/>
              <w:rPr>
                <w:rFonts w:eastAsia="Times New Roman" w:cs="Times New Roman"/>
                <w:color w:val="000000"/>
                <w:sz w:val="22"/>
              </w:rPr>
            </w:pPr>
            <w:r w:rsidRPr="002E2237">
              <w:rPr>
                <w:rFonts w:eastAsia="Times New Roman" w:cs="Times New Roman"/>
                <w:b/>
                <w:bCs/>
                <w:color w:val="000000"/>
                <w:sz w:val="22"/>
              </w:rPr>
              <w:t>Oakland</w:t>
            </w:r>
            <w:r w:rsidRPr="002E2237">
              <w:rPr>
                <w:rFonts w:eastAsia="Times New Roman" w:cs="Times New Roman"/>
                <w:color w:val="000000"/>
                <w:sz w:val="22"/>
              </w:rPr>
              <w:t>, City of</w:t>
            </w:r>
          </w:p>
        </w:tc>
        <w:tc>
          <w:tcPr>
            <w:tcW w:w="1659"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$12,774</w:t>
            </w:r>
          </w:p>
        </w:tc>
        <w:tc>
          <w:tcPr>
            <w:tcW w:w="2200"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$27,770</w:t>
            </w:r>
          </w:p>
        </w:tc>
        <w:tc>
          <w:tcPr>
            <w:tcW w:w="134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$3,086</w:t>
            </w:r>
          </w:p>
        </w:tc>
        <w:tc>
          <w:tcPr>
            <w:tcW w:w="142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$30,856</w:t>
            </w:r>
          </w:p>
        </w:tc>
      </w:tr>
      <w:tr w:rsidR="002E2237" w:rsidRPr="002E2237" w:rsidTr="002E2237">
        <w:trPr>
          <w:trHeight w:val="315"/>
          <w:jc w:val="center"/>
        </w:trPr>
        <w:tc>
          <w:tcPr>
            <w:tcW w:w="3293" w:type="dxa"/>
            <w:tcBorders>
              <w:top w:val="nil"/>
              <w:left w:val="single" w:sz="8" w:space="0" w:color="auto"/>
              <w:bottom w:val="single" w:sz="8" w:space="0" w:color="auto"/>
              <w:right w:val="single" w:sz="8" w:space="0" w:color="auto"/>
            </w:tcBorders>
            <w:noWrap/>
            <w:vAlign w:val="center"/>
            <w:hideMark/>
          </w:tcPr>
          <w:p w:rsidR="002E2237" w:rsidRPr="002E2237" w:rsidRDefault="002E2237" w:rsidP="002E2237">
            <w:pPr>
              <w:spacing w:before="0" w:after="0"/>
              <w:rPr>
                <w:rFonts w:eastAsia="Times New Roman" w:cs="Times New Roman"/>
                <w:color w:val="000000"/>
                <w:sz w:val="22"/>
              </w:rPr>
            </w:pPr>
            <w:r w:rsidRPr="002E2237">
              <w:rPr>
                <w:rFonts w:eastAsia="Times New Roman" w:cs="Times New Roman"/>
                <w:b/>
                <w:bCs/>
                <w:color w:val="000000"/>
                <w:sz w:val="22"/>
              </w:rPr>
              <w:t>Orange</w:t>
            </w:r>
            <w:r w:rsidRPr="002E2237">
              <w:rPr>
                <w:rFonts w:eastAsia="Times New Roman" w:cs="Times New Roman"/>
                <w:color w:val="000000"/>
                <w:sz w:val="22"/>
              </w:rPr>
              <w:t xml:space="preserve">, County of </w:t>
            </w:r>
          </w:p>
        </w:tc>
        <w:tc>
          <w:tcPr>
            <w:tcW w:w="1659"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$61,461</w:t>
            </w:r>
          </w:p>
        </w:tc>
        <w:tc>
          <w:tcPr>
            <w:tcW w:w="2200"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$133,615</w:t>
            </w:r>
          </w:p>
        </w:tc>
        <w:tc>
          <w:tcPr>
            <w:tcW w:w="134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$14,846</w:t>
            </w:r>
          </w:p>
        </w:tc>
        <w:tc>
          <w:tcPr>
            <w:tcW w:w="142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$148,461</w:t>
            </w:r>
          </w:p>
        </w:tc>
      </w:tr>
      <w:tr w:rsidR="002E2237" w:rsidRPr="002E2237" w:rsidTr="002E2237">
        <w:trPr>
          <w:trHeight w:val="315"/>
          <w:jc w:val="center"/>
        </w:trPr>
        <w:tc>
          <w:tcPr>
            <w:tcW w:w="3293" w:type="dxa"/>
            <w:tcBorders>
              <w:top w:val="nil"/>
              <w:left w:val="single" w:sz="8" w:space="0" w:color="auto"/>
              <w:bottom w:val="single" w:sz="8" w:space="0" w:color="auto"/>
              <w:right w:val="single" w:sz="8" w:space="0" w:color="auto"/>
            </w:tcBorders>
            <w:noWrap/>
            <w:vAlign w:val="center"/>
            <w:hideMark/>
          </w:tcPr>
          <w:p w:rsidR="002E2237" w:rsidRPr="002E2237" w:rsidRDefault="002E2237" w:rsidP="002E2237">
            <w:pPr>
              <w:spacing w:before="0" w:after="0"/>
              <w:rPr>
                <w:rFonts w:eastAsia="Times New Roman" w:cs="Times New Roman"/>
                <w:color w:val="000000"/>
                <w:sz w:val="22"/>
              </w:rPr>
            </w:pPr>
            <w:r w:rsidRPr="002E2237">
              <w:rPr>
                <w:rFonts w:eastAsia="Times New Roman" w:cs="Times New Roman"/>
                <w:b/>
                <w:bCs/>
                <w:color w:val="000000"/>
                <w:sz w:val="22"/>
              </w:rPr>
              <w:t>Riverside</w:t>
            </w:r>
            <w:r w:rsidRPr="002E2237">
              <w:rPr>
                <w:rFonts w:eastAsia="Times New Roman" w:cs="Times New Roman"/>
                <w:color w:val="000000"/>
                <w:sz w:val="22"/>
              </w:rPr>
              <w:t>, County of</w:t>
            </w:r>
          </w:p>
        </w:tc>
        <w:tc>
          <w:tcPr>
            <w:tcW w:w="1659"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$41,197</w:t>
            </w:r>
          </w:p>
        </w:tc>
        <w:tc>
          <w:tcPr>
            <w:tcW w:w="2200"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$89,561</w:t>
            </w:r>
          </w:p>
        </w:tc>
        <w:tc>
          <w:tcPr>
            <w:tcW w:w="134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$9,951</w:t>
            </w:r>
          </w:p>
        </w:tc>
        <w:tc>
          <w:tcPr>
            <w:tcW w:w="142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$99,512</w:t>
            </w:r>
          </w:p>
        </w:tc>
      </w:tr>
      <w:tr w:rsidR="002E2237" w:rsidRPr="002E2237" w:rsidTr="002E2237">
        <w:trPr>
          <w:trHeight w:val="315"/>
          <w:jc w:val="center"/>
        </w:trPr>
        <w:tc>
          <w:tcPr>
            <w:tcW w:w="3293" w:type="dxa"/>
            <w:tcBorders>
              <w:top w:val="nil"/>
              <w:left w:val="single" w:sz="8" w:space="0" w:color="auto"/>
              <w:bottom w:val="single" w:sz="8" w:space="0" w:color="auto"/>
              <w:right w:val="single" w:sz="8" w:space="0" w:color="auto"/>
            </w:tcBorders>
            <w:noWrap/>
            <w:vAlign w:val="center"/>
            <w:hideMark/>
          </w:tcPr>
          <w:p w:rsidR="002E2237" w:rsidRPr="002E2237" w:rsidRDefault="002E2237" w:rsidP="002E2237">
            <w:pPr>
              <w:spacing w:before="0" w:after="0"/>
              <w:rPr>
                <w:rFonts w:eastAsia="Times New Roman" w:cs="Times New Roman"/>
                <w:color w:val="000000"/>
                <w:sz w:val="22"/>
              </w:rPr>
            </w:pPr>
            <w:r w:rsidRPr="002E2237">
              <w:rPr>
                <w:rFonts w:eastAsia="Times New Roman" w:cs="Times New Roman"/>
                <w:b/>
                <w:bCs/>
                <w:color w:val="000000"/>
                <w:sz w:val="22"/>
              </w:rPr>
              <w:t>Sacramento</w:t>
            </w:r>
            <w:r w:rsidRPr="002E2237">
              <w:rPr>
                <w:rFonts w:eastAsia="Times New Roman" w:cs="Times New Roman"/>
                <w:color w:val="000000"/>
                <w:sz w:val="22"/>
              </w:rPr>
              <w:t>, County of</w:t>
            </w:r>
          </w:p>
        </w:tc>
        <w:tc>
          <w:tcPr>
            <w:tcW w:w="1659"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$45,854</w:t>
            </w:r>
          </w:p>
        </w:tc>
        <w:tc>
          <w:tcPr>
            <w:tcW w:w="2200"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$99,686</w:t>
            </w:r>
          </w:p>
        </w:tc>
        <w:tc>
          <w:tcPr>
            <w:tcW w:w="134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$11,076</w:t>
            </w:r>
          </w:p>
        </w:tc>
        <w:tc>
          <w:tcPr>
            <w:tcW w:w="142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$110,762</w:t>
            </w:r>
          </w:p>
        </w:tc>
      </w:tr>
      <w:tr w:rsidR="002E2237" w:rsidRPr="002E2237" w:rsidTr="002E2237">
        <w:trPr>
          <w:trHeight w:val="315"/>
          <w:jc w:val="center"/>
        </w:trPr>
        <w:tc>
          <w:tcPr>
            <w:tcW w:w="3293" w:type="dxa"/>
            <w:tcBorders>
              <w:top w:val="nil"/>
              <w:left w:val="single" w:sz="8" w:space="0" w:color="auto"/>
              <w:bottom w:val="single" w:sz="8" w:space="0" w:color="auto"/>
              <w:right w:val="single" w:sz="8" w:space="0" w:color="auto"/>
            </w:tcBorders>
            <w:noWrap/>
            <w:vAlign w:val="center"/>
            <w:hideMark/>
          </w:tcPr>
          <w:p w:rsidR="002E2237" w:rsidRPr="002E2237" w:rsidRDefault="002E2237" w:rsidP="002E2237">
            <w:pPr>
              <w:spacing w:before="0" w:after="0"/>
              <w:rPr>
                <w:rFonts w:eastAsia="Times New Roman" w:cs="Times New Roman"/>
                <w:color w:val="000000"/>
                <w:sz w:val="22"/>
              </w:rPr>
            </w:pPr>
            <w:r w:rsidRPr="002E2237">
              <w:rPr>
                <w:rFonts w:eastAsia="Times New Roman" w:cs="Times New Roman"/>
                <w:b/>
                <w:bCs/>
                <w:color w:val="000000"/>
                <w:sz w:val="22"/>
              </w:rPr>
              <w:t>San Bernardino</w:t>
            </w:r>
            <w:r w:rsidRPr="002E2237">
              <w:rPr>
                <w:rFonts w:eastAsia="Times New Roman" w:cs="Times New Roman"/>
                <w:color w:val="000000"/>
                <w:sz w:val="22"/>
              </w:rPr>
              <w:t>, County of</w:t>
            </w:r>
          </w:p>
        </w:tc>
        <w:tc>
          <w:tcPr>
            <w:tcW w:w="1659"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$40,405</w:t>
            </w:r>
          </w:p>
        </w:tc>
        <w:tc>
          <w:tcPr>
            <w:tcW w:w="2200"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$87,839</w:t>
            </w:r>
          </w:p>
        </w:tc>
        <w:tc>
          <w:tcPr>
            <w:tcW w:w="134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$9,760</w:t>
            </w:r>
          </w:p>
        </w:tc>
        <w:tc>
          <w:tcPr>
            <w:tcW w:w="142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$97,599</w:t>
            </w:r>
          </w:p>
        </w:tc>
      </w:tr>
      <w:tr w:rsidR="002E2237" w:rsidRPr="002E2237" w:rsidTr="002E2237">
        <w:trPr>
          <w:trHeight w:val="315"/>
          <w:jc w:val="center"/>
        </w:trPr>
        <w:tc>
          <w:tcPr>
            <w:tcW w:w="3293" w:type="dxa"/>
            <w:tcBorders>
              <w:top w:val="nil"/>
              <w:left w:val="single" w:sz="8" w:space="0" w:color="auto"/>
              <w:bottom w:val="single" w:sz="8" w:space="0" w:color="auto"/>
              <w:right w:val="single" w:sz="8" w:space="0" w:color="auto"/>
            </w:tcBorders>
            <w:noWrap/>
            <w:vAlign w:val="center"/>
            <w:hideMark/>
          </w:tcPr>
          <w:p w:rsidR="002E2237" w:rsidRPr="002E2237" w:rsidRDefault="002E2237" w:rsidP="002E2237">
            <w:pPr>
              <w:spacing w:before="0" w:after="0"/>
              <w:rPr>
                <w:rFonts w:eastAsia="Times New Roman" w:cs="Times New Roman"/>
                <w:color w:val="000000"/>
                <w:sz w:val="22"/>
              </w:rPr>
            </w:pPr>
            <w:r w:rsidRPr="002E2237">
              <w:rPr>
                <w:rFonts w:eastAsia="Times New Roman" w:cs="Times New Roman"/>
                <w:b/>
                <w:bCs/>
                <w:color w:val="000000"/>
                <w:sz w:val="22"/>
              </w:rPr>
              <w:t>San Diego</w:t>
            </w:r>
            <w:r w:rsidRPr="002E2237">
              <w:rPr>
                <w:rFonts w:eastAsia="Times New Roman" w:cs="Times New Roman"/>
                <w:color w:val="000000"/>
                <w:sz w:val="22"/>
              </w:rPr>
              <w:t xml:space="preserve">, City of </w:t>
            </w:r>
          </w:p>
        </w:tc>
        <w:tc>
          <w:tcPr>
            <w:tcW w:w="1659"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$13,656</w:t>
            </w:r>
          </w:p>
        </w:tc>
        <w:tc>
          <w:tcPr>
            <w:tcW w:w="2200"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$29,688</w:t>
            </w:r>
          </w:p>
        </w:tc>
        <w:tc>
          <w:tcPr>
            <w:tcW w:w="134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$3,299</w:t>
            </w:r>
          </w:p>
        </w:tc>
        <w:tc>
          <w:tcPr>
            <w:tcW w:w="142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$32,987</w:t>
            </w:r>
          </w:p>
        </w:tc>
      </w:tr>
      <w:tr w:rsidR="002E2237" w:rsidRPr="002E2237" w:rsidTr="002E2237">
        <w:trPr>
          <w:trHeight w:val="315"/>
          <w:jc w:val="center"/>
        </w:trPr>
        <w:tc>
          <w:tcPr>
            <w:tcW w:w="3293" w:type="dxa"/>
            <w:tcBorders>
              <w:top w:val="nil"/>
              <w:left w:val="single" w:sz="8" w:space="0" w:color="auto"/>
              <w:bottom w:val="single" w:sz="8" w:space="0" w:color="auto"/>
              <w:right w:val="single" w:sz="8" w:space="0" w:color="auto"/>
            </w:tcBorders>
            <w:noWrap/>
            <w:vAlign w:val="center"/>
            <w:hideMark/>
          </w:tcPr>
          <w:p w:rsidR="002E2237" w:rsidRPr="002E2237" w:rsidRDefault="002E2237" w:rsidP="002E2237">
            <w:pPr>
              <w:spacing w:before="0" w:after="0"/>
              <w:rPr>
                <w:rFonts w:eastAsia="Times New Roman" w:cs="Times New Roman"/>
                <w:color w:val="000000"/>
                <w:sz w:val="22"/>
              </w:rPr>
            </w:pPr>
            <w:r w:rsidRPr="002E2237">
              <w:rPr>
                <w:rFonts w:eastAsia="Times New Roman" w:cs="Times New Roman"/>
                <w:b/>
                <w:bCs/>
                <w:color w:val="000000"/>
                <w:sz w:val="22"/>
              </w:rPr>
              <w:t>San Diego</w:t>
            </w:r>
            <w:r w:rsidRPr="002E2237">
              <w:rPr>
                <w:rFonts w:eastAsia="Times New Roman" w:cs="Times New Roman"/>
                <w:color w:val="000000"/>
                <w:sz w:val="22"/>
              </w:rPr>
              <w:t>, County of</w:t>
            </w:r>
          </w:p>
        </w:tc>
        <w:tc>
          <w:tcPr>
            <w:tcW w:w="1659"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$66,929</w:t>
            </w:r>
          </w:p>
        </w:tc>
        <w:tc>
          <w:tcPr>
            <w:tcW w:w="2200"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$145,502</w:t>
            </w:r>
          </w:p>
        </w:tc>
        <w:tc>
          <w:tcPr>
            <w:tcW w:w="134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$16,167</w:t>
            </w:r>
          </w:p>
        </w:tc>
        <w:tc>
          <w:tcPr>
            <w:tcW w:w="142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$161,669</w:t>
            </w:r>
          </w:p>
        </w:tc>
      </w:tr>
      <w:tr w:rsidR="002E2237" w:rsidRPr="002E2237" w:rsidTr="002E2237">
        <w:trPr>
          <w:trHeight w:val="315"/>
          <w:jc w:val="center"/>
        </w:trPr>
        <w:tc>
          <w:tcPr>
            <w:tcW w:w="3293" w:type="dxa"/>
            <w:tcBorders>
              <w:top w:val="nil"/>
              <w:left w:val="single" w:sz="8" w:space="0" w:color="auto"/>
              <w:bottom w:val="single" w:sz="8" w:space="0" w:color="auto"/>
              <w:right w:val="single" w:sz="8" w:space="0" w:color="auto"/>
            </w:tcBorders>
            <w:noWrap/>
            <w:vAlign w:val="center"/>
            <w:hideMark/>
          </w:tcPr>
          <w:p w:rsidR="002E2237" w:rsidRPr="002E2237" w:rsidRDefault="002E2237" w:rsidP="002E2237">
            <w:pPr>
              <w:spacing w:before="0" w:after="0"/>
              <w:rPr>
                <w:rFonts w:eastAsia="Times New Roman" w:cs="Times New Roman"/>
                <w:color w:val="000000"/>
                <w:sz w:val="22"/>
              </w:rPr>
            </w:pPr>
            <w:r w:rsidRPr="002E2237">
              <w:rPr>
                <w:rFonts w:eastAsia="Times New Roman" w:cs="Times New Roman"/>
                <w:b/>
                <w:bCs/>
                <w:color w:val="000000"/>
                <w:sz w:val="22"/>
              </w:rPr>
              <w:t>San Francisco</w:t>
            </w:r>
            <w:r w:rsidRPr="002E2237">
              <w:rPr>
                <w:rFonts w:eastAsia="Times New Roman" w:cs="Times New Roman"/>
                <w:color w:val="000000"/>
                <w:sz w:val="22"/>
              </w:rPr>
              <w:t xml:space="preserve">, </w:t>
            </w:r>
            <w:r>
              <w:rPr>
                <w:rFonts w:eastAsia="Times New Roman" w:cs="Times New Roman"/>
                <w:color w:val="000000"/>
                <w:sz w:val="22"/>
              </w:rPr>
              <w:t>C</w:t>
            </w:r>
            <w:r w:rsidRPr="002E2237">
              <w:rPr>
                <w:rFonts w:eastAsia="Times New Roman" w:cs="Times New Roman"/>
                <w:color w:val="000000"/>
                <w:sz w:val="22"/>
              </w:rPr>
              <w:t>ity/County of</w:t>
            </w:r>
          </w:p>
        </w:tc>
        <w:tc>
          <w:tcPr>
            <w:tcW w:w="1659"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$35,987</w:t>
            </w:r>
          </w:p>
        </w:tc>
        <w:tc>
          <w:tcPr>
            <w:tcW w:w="2200"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$78,235</w:t>
            </w:r>
          </w:p>
        </w:tc>
        <w:tc>
          <w:tcPr>
            <w:tcW w:w="134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$8,693</w:t>
            </w:r>
          </w:p>
        </w:tc>
        <w:tc>
          <w:tcPr>
            <w:tcW w:w="142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$86,928</w:t>
            </w:r>
          </w:p>
        </w:tc>
      </w:tr>
      <w:tr w:rsidR="002E2237" w:rsidRPr="002E2237" w:rsidTr="002E2237">
        <w:trPr>
          <w:trHeight w:val="315"/>
          <w:jc w:val="center"/>
        </w:trPr>
        <w:tc>
          <w:tcPr>
            <w:tcW w:w="3293" w:type="dxa"/>
            <w:tcBorders>
              <w:top w:val="nil"/>
              <w:left w:val="single" w:sz="8" w:space="0" w:color="auto"/>
              <w:bottom w:val="single" w:sz="8" w:space="0" w:color="auto"/>
              <w:right w:val="single" w:sz="8" w:space="0" w:color="auto"/>
            </w:tcBorders>
            <w:noWrap/>
            <w:vAlign w:val="center"/>
            <w:hideMark/>
          </w:tcPr>
          <w:p w:rsidR="002E2237" w:rsidRPr="002E2237" w:rsidRDefault="002E2237" w:rsidP="002E2237">
            <w:pPr>
              <w:spacing w:before="0" w:after="0"/>
              <w:rPr>
                <w:rFonts w:eastAsia="Times New Roman" w:cs="Times New Roman"/>
                <w:color w:val="000000"/>
                <w:sz w:val="22"/>
              </w:rPr>
            </w:pPr>
            <w:r w:rsidRPr="002E2237">
              <w:rPr>
                <w:rFonts w:eastAsia="Times New Roman" w:cs="Times New Roman"/>
                <w:b/>
                <w:bCs/>
                <w:color w:val="000000"/>
                <w:sz w:val="22"/>
              </w:rPr>
              <w:t>San Joaquin</w:t>
            </w:r>
            <w:r w:rsidRPr="002E2237">
              <w:rPr>
                <w:rFonts w:eastAsia="Times New Roman" w:cs="Times New Roman"/>
                <w:color w:val="000000"/>
                <w:sz w:val="22"/>
              </w:rPr>
              <w:t>, County of</w:t>
            </w:r>
          </w:p>
        </w:tc>
        <w:tc>
          <w:tcPr>
            <w:tcW w:w="1659"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$16,808</w:t>
            </w:r>
          </w:p>
        </w:tc>
        <w:tc>
          <w:tcPr>
            <w:tcW w:w="2200"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$36,540</w:t>
            </w:r>
          </w:p>
        </w:tc>
        <w:tc>
          <w:tcPr>
            <w:tcW w:w="134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$4,060</w:t>
            </w:r>
          </w:p>
        </w:tc>
        <w:tc>
          <w:tcPr>
            <w:tcW w:w="142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$40,600</w:t>
            </w:r>
          </w:p>
        </w:tc>
      </w:tr>
      <w:tr w:rsidR="002E2237" w:rsidRPr="002E2237" w:rsidTr="002E2237">
        <w:trPr>
          <w:trHeight w:val="315"/>
          <w:jc w:val="center"/>
        </w:trPr>
        <w:tc>
          <w:tcPr>
            <w:tcW w:w="3293" w:type="dxa"/>
            <w:tcBorders>
              <w:top w:val="nil"/>
              <w:left w:val="single" w:sz="8" w:space="0" w:color="auto"/>
              <w:bottom w:val="single" w:sz="8" w:space="0" w:color="auto"/>
              <w:right w:val="single" w:sz="8" w:space="0" w:color="auto"/>
            </w:tcBorders>
            <w:noWrap/>
            <w:vAlign w:val="center"/>
            <w:hideMark/>
          </w:tcPr>
          <w:p w:rsidR="002E2237" w:rsidRPr="002E2237" w:rsidRDefault="002E2237" w:rsidP="002E2237">
            <w:pPr>
              <w:spacing w:before="0" w:after="0"/>
              <w:rPr>
                <w:rFonts w:eastAsia="Times New Roman" w:cs="Times New Roman"/>
                <w:color w:val="000000"/>
                <w:sz w:val="22"/>
              </w:rPr>
            </w:pPr>
            <w:r w:rsidRPr="002E2237">
              <w:rPr>
                <w:rFonts w:eastAsia="Times New Roman" w:cs="Times New Roman"/>
                <w:b/>
                <w:bCs/>
                <w:color w:val="000000"/>
                <w:sz w:val="22"/>
              </w:rPr>
              <w:t>San Mateo</w:t>
            </w:r>
            <w:r w:rsidRPr="002E2237">
              <w:rPr>
                <w:rFonts w:eastAsia="Times New Roman" w:cs="Times New Roman"/>
                <w:color w:val="000000"/>
                <w:sz w:val="22"/>
              </w:rPr>
              <w:t>, County of</w:t>
            </w:r>
          </w:p>
        </w:tc>
        <w:tc>
          <w:tcPr>
            <w:tcW w:w="1659"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$18,558</w:t>
            </w:r>
          </w:p>
        </w:tc>
        <w:tc>
          <w:tcPr>
            <w:tcW w:w="2200"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$40,345</w:t>
            </w:r>
          </w:p>
        </w:tc>
        <w:tc>
          <w:tcPr>
            <w:tcW w:w="134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$4,483</w:t>
            </w:r>
          </w:p>
        </w:tc>
        <w:tc>
          <w:tcPr>
            <w:tcW w:w="142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$44,828</w:t>
            </w:r>
          </w:p>
        </w:tc>
      </w:tr>
      <w:tr w:rsidR="002E2237" w:rsidRPr="002E2237" w:rsidTr="002E2237">
        <w:trPr>
          <w:trHeight w:val="315"/>
          <w:jc w:val="center"/>
        </w:trPr>
        <w:tc>
          <w:tcPr>
            <w:tcW w:w="3293" w:type="dxa"/>
            <w:tcBorders>
              <w:top w:val="nil"/>
              <w:left w:val="single" w:sz="8" w:space="0" w:color="auto"/>
              <w:bottom w:val="single" w:sz="8" w:space="0" w:color="auto"/>
              <w:right w:val="single" w:sz="8" w:space="0" w:color="auto"/>
            </w:tcBorders>
            <w:noWrap/>
            <w:vAlign w:val="center"/>
            <w:hideMark/>
          </w:tcPr>
          <w:p w:rsidR="002E2237" w:rsidRPr="002E2237" w:rsidRDefault="002E2237" w:rsidP="002E2237">
            <w:pPr>
              <w:spacing w:before="0" w:after="0"/>
              <w:rPr>
                <w:rFonts w:eastAsia="Times New Roman" w:cs="Times New Roman"/>
                <w:color w:val="000000"/>
                <w:sz w:val="22"/>
              </w:rPr>
            </w:pPr>
            <w:r w:rsidRPr="002E2237">
              <w:rPr>
                <w:rFonts w:eastAsia="Times New Roman" w:cs="Times New Roman"/>
                <w:b/>
                <w:bCs/>
                <w:color w:val="000000"/>
                <w:sz w:val="22"/>
              </w:rPr>
              <w:t>Santa Barbara</w:t>
            </w:r>
            <w:r w:rsidRPr="002E2237">
              <w:rPr>
                <w:rFonts w:eastAsia="Times New Roman" w:cs="Times New Roman"/>
                <w:color w:val="000000"/>
                <w:sz w:val="22"/>
              </w:rPr>
              <w:t>, County of</w:t>
            </w:r>
          </w:p>
        </w:tc>
        <w:tc>
          <w:tcPr>
            <w:tcW w:w="1659"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$12,701</w:t>
            </w:r>
          </w:p>
        </w:tc>
        <w:tc>
          <w:tcPr>
            <w:tcW w:w="2200"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$27,612</w:t>
            </w:r>
          </w:p>
        </w:tc>
        <w:tc>
          <w:tcPr>
            <w:tcW w:w="134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$3,068</w:t>
            </w:r>
          </w:p>
        </w:tc>
        <w:tc>
          <w:tcPr>
            <w:tcW w:w="142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$30,680</w:t>
            </w:r>
          </w:p>
        </w:tc>
      </w:tr>
      <w:tr w:rsidR="002E2237" w:rsidRPr="002E2237" w:rsidTr="002E2237">
        <w:trPr>
          <w:trHeight w:val="315"/>
          <w:jc w:val="center"/>
        </w:trPr>
        <w:tc>
          <w:tcPr>
            <w:tcW w:w="3293" w:type="dxa"/>
            <w:tcBorders>
              <w:top w:val="nil"/>
              <w:left w:val="single" w:sz="8" w:space="0" w:color="auto"/>
              <w:bottom w:val="single" w:sz="8" w:space="0" w:color="auto"/>
              <w:right w:val="single" w:sz="8" w:space="0" w:color="auto"/>
            </w:tcBorders>
            <w:noWrap/>
            <w:vAlign w:val="center"/>
            <w:hideMark/>
          </w:tcPr>
          <w:p w:rsidR="002E2237" w:rsidRPr="002E2237" w:rsidRDefault="002E2237" w:rsidP="002E2237">
            <w:pPr>
              <w:spacing w:before="0" w:after="0"/>
              <w:rPr>
                <w:rFonts w:eastAsia="Times New Roman" w:cs="Times New Roman"/>
                <w:color w:val="000000"/>
                <w:sz w:val="22"/>
              </w:rPr>
            </w:pPr>
            <w:r w:rsidRPr="002E2237">
              <w:rPr>
                <w:rFonts w:eastAsia="Times New Roman" w:cs="Times New Roman"/>
                <w:b/>
                <w:bCs/>
                <w:color w:val="000000"/>
                <w:sz w:val="22"/>
              </w:rPr>
              <w:t>Santa Clara</w:t>
            </w:r>
            <w:r w:rsidRPr="002E2237">
              <w:rPr>
                <w:rFonts w:eastAsia="Times New Roman" w:cs="Times New Roman"/>
                <w:color w:val="000000"/>
                <w:sz w:val="22"/>
              </w:rPr>
              <w:t>, County of</w:t>
            </w:r>
          </w:p>
        </w:tc>
        <w:tc>
          <w:tcPr>
            <w:tcW w:w="1659"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$49,715</w:t>
            </w:r>
          </w:p>
        </w:tc>
        <w:tc>
          <w:tcPr>
            <w:tcW w:w="2200"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$108,079</w:t>
            </w:r>
          </w:p>
        </w:tc>
        <w:tc>
          <w:tcPr>
            <w:tcW w:w="134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$12,009</w:t>
            </w:r>
          </w:p>
        </w:tc>
        <w:tc>
          <w:tcPr>
            <w:tcW w:w="142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$120,088</w:t>
            </w:r>
          </w:p>
        </w:tc>
      </w:tr>
      <w:tr w:rsidR="002E2237" w:rsidRPr="002E2237" w:rsidTr="002E2237">
        <w:trPr>
          <w:trHeight w:val="315"/>
          <w:jc w:val="center"/>
        </w:trPr>
        <w:tc>
          <w:tcPr>
            <w:tcW w:w="3293" w:type="dxa"/>
            <w:tcBorders>
              <w:top w:val="nil"/>
              <w:left w:val="single" w:sz="8" w:space="0" w:color="auto"/>
              <w:bottom w:val="single" w:sz="8" w:space="0" w:color="auto"/>
              <w:right w:val="single" w:sz="8" w:space="0" w:color="auto"/>
            </w:tcBorders>
            <w:noWrap/>
            <w:vAlign w:val="center"/>
            <w:hideMark/>
          </w:tcPr>
          <w:p w:rsidR="002E2237" w:rsidRPr="002E2237" w:rsidRDefault="002E2237" w:rsidP="002E2237">
            <w:pPr>
              <w:spacing w:before="0" w:after="0"/>
              <w:rPr>
                <w:rFonts w:eastAsia="Times New Roman" w:cs="Times New Roman"/>
                <w:color w:val="000000"/>
                <w:sz w:val="22"/>
              </w:rPr>
            </w:pPr>
            <w:r w:rsidRPr="002E2237">
              <w:rPr>
                <w:rFonts w:eastAsia="Times New Roman" w:cs="Times New Roman"/>
                <w:b/>
                <w:bCs/>
                <w:color w:val="000000"/>
                <w:sz w:val="22"/>
              </w:rPr>
              <w:t>Sonoma</w:t>
            </w:r>
            <w:r w:rsidRPr="002E2237">
              <w:rPr>
                <w:rFonts w:eastAsia="Times New Roman" w:cs="Times New Roman"/>
                <w:color w:val="000000"/>
                <w:sz w:val="22"/>
              </w:rPr>
              <w:t xml:space="preserve">, County of </w:t>
            </w:r>
          </w:p>
        </w:tc>
        <w:tc>
          <w:tcPr>
            <w:tcW w:w="1659"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$15,540</w:t>
            </w:r>
          </w:p>
        </w:tc>
        <w:tc>
          <w:tcPr>
            <w:tcW w:w="2200"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$33,784</w:t>
            </w:r>
          </w:p>
        </w:tc>
        <w:tc>
          <w:tcPr>
            <w:tcW w:w="134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$3,754</w:t>
            </w:r>
          </w:p>
        </w:tc>
        <w:tc>
          <w:tcPr>
            <w:tcW w:w="142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$37,538</w:t>
            </w:r>
          </w:p>
        </w:tc>
      </w:tr>
      <w:tr w:rsidR="002E2237" w:rsidRPr="002E2237" w:rsidTr="002E2237">
        <w:trPr>
          <w:trHeight w:val="315"/>
          <w:jc w:val="center"/>
        </w:trPr>
        <w:tc>
          <w:tcPr>
            <w:tcW w:w="3293" w:type="dxa"/>
            <w:tcBorders>
              <w:top w:val="nil"/>
              <w:left w:val="single" w:sz="8" w:space="0" w:color="auto"/>
              <w:bottom w:val="single" w:sz="8" w:space="0" w:color="auto"/>
              <w:right w:val="single" w:sz="8" w:space="0" w:color="auto"/>
            </w:tcBorders>
            <w:noWrap/>
            <w:vAlign w:val="center"/>
            <w:hideMark/>
          </w:tcPr>
          <w:p w:rsidR="002E2237" w:rsidRPr="002E2237" w:rsidRDefault="002E2237" w:rsidP="002E2237">
            <w:pPr>
              <w:spacing w:before="0" w:after="0"/>
              <w:rPr>
                <w:rFonts w:eastAsia="Times New Roman" w:cs="Times New Roman"/>
                <w:color w:val="000000"/>
                <w:sz w:val="22"/>
              </w:rPr>
            </w:pPr>
            <w:r w:rsidRPr="002E2237">
              <w:rPr>
                <w:rFonts w:eastAsia="Times New Roman" w:cs="Times New Roman"/>
                <w:b/>
                <w:bCs/>
                <w:color w:val="000000"/>
                <w:sz w:val="22"/>
              </w:rPr>
              <w:t>Stanislaus</w:t>
            </w:r>
            <w:r w:rsidRPr="002E2237">
              <w:rPr>
                <w:rFonts w:eastAsia="Times New Roman" w:cs="Times New Roman"/>
                <w:color w:val="000000"/>
                <w:sz w:val="22"/>
              </w:rPr>
              <w:t>, County of</w:t>
            </w:r>
          </w:p>
        </w:tc>
        <w:tc>
          <w:tcPr>
            <w:tcW w:w="1659"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$11,021</w:t>
            </w:r>
          </w:p>
        </w:tc>
        <w:tc>
          <w:tcPr>
            <w:tcW w:w="2200"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$23,959</w:t>
            </w:r>
          </w:p>
        </w:tc>
        <w:tc>
          <w:tcPr>
            <w:tcW w:w="134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$2,662</w:t>
            </w:r>
          </w:p>
        </w:tc>
        <w:tc>
          <w:tcPr>
            <w:tcW w:w="142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$26,621</w:t>
            </w:r>
          </w:p>
        </w:tc>
      </w:tr>
      <w:tr w:rsidR="002E2237" w:rsidRPr="002E2237" w:rsidTr="002E2237">
        <w:trPr>
          <w:trHeight w:val="315"/>
          <w:jc w:val="center"/>
        </w:trPr>
        <w:tc>
          <w:tcPr>
            <w:tcW w:w="3293" w:type="dxa"/>
            <w:tcBorders>
              <w:top w:val="nil"/>
              <w:left w:val="single" w:sz="8" w:space="0" w:color="auto"/>
              <w:bottom w:val="single" w:sz="8" w:space="0" w:color="auto"/>
              <w:right w:val="single" w:sz="8" w:space="0" w:color="auto"/>
            </w:tcBorders>
            <w:noWrap/>
            <w:vAlign w:val="center"/>
            <w:hideMark/>
          </w:tcPr>
          <w:p w:rsidR="002E2237" w:rsidRPr="002E2237" w:rsidRDefault="002E2237" w:rsidP="002E2237">
            <w:pPr>
              <w:spacing w:before="0" w:after="0"/>
              <w:rPr>
                <w:rFonts w:eastAsia="Times New Roman" w:cs="Times New Roman"/>
                <w:color w:val="000000"/>
                <w:sz w:val="22"/>
              </w:rPr>
            </w:pPr>
            <w:r w:rsidRPr="002E2237">
              <w:rPr>
                <w:rFonts w:eastAsia="Times New Roman" w:cs="Times New Roman"/>
                <w:b/>
                <w:bCs/>
                <w:color w:val="000000"/>
                <w:sz w:val="22"/>
              </w:rPr>
              <w:t>Tulare</w:t>
            </w:r>
            <w:r w:rsidRPr="002E2237">
              <w:rPr>
                <w:rFonts w:eastAsia="Times New Roman" w:cs="Times New Roman"/>
                <w:color w:val="000000"/>
                <w:sz w:val="22"/>
              </w:rPr>
              <w:t>, County of</w:t>
            </w:r>
          </w:p>
        </w:tc>
        <w:tc>
          <w:tcPr>
            <w:tcW w:w="1659"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$10,679</w:t>
            </w:r>
          </w:p>
        </w:tc>
        <w:tc>
          <w:tcPr>
            <w:tcW w:w="2200"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$23,216</w:t>
            </w:r>
          </w:p>
        </w:tc>
        <w:tc>
          <w:tcPr>
            <w:tcW w:w="134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$2,580</w:t>
            </w:r>
          </w:p>
        </w:tc>
        <w:tc>
          <w:tcPr>
            <w:tcW w:w="142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$25,796</w:t>
            </w:r>
          </w:p>
        </w:tc>
      </w:tr>
      <w:tr w:rsidR="002E2237" w:rsidRPr="002E2237" w:rsidTr="002E2237">
        <w:trPr>
          <w:trHeight w:val="315"/>
          <w:jc w:val="center"/>
        </w:trPr>
        <w:tc>
          <w:tcPr>
            <w:tcW w:w="3293" w:type="dxa"/>
            <w:tcBorders>
              <w:top w:val="nil"/>
              <w:left w:val="single" w:sz="8" w:space="0" w:color="auto"/>
              <w:bottom w:val="single" w:sz="8" w:space="0" w:color="auto"/>
              <w:right w:val="single" w:sz="8" w:space="0" w:color="auto"/>
            </w:tcBorders>
            <w:noWrap/>
            <w:vAlign w:val="center"/>
            <w:hideMark/>
          </w:tcPr>
          <w:p w:rsidR="002E2237" w:rsidRPr="002E2237" w:rsidRDefault="002E2237" w:rsidP="002E2237">
            <w:pPr>
              <w:spacing w:before="0" w:after="0"/>
              <w:rPr>
                <w:rFonts w:eastAsia="Times New Roman" w:cs="Times New Roman"/>
                <w:color w:val="000000"/>
                <w:sz w:val="22"/>
              </w:rPr>
            </w:pPr>
            <w:r w:rsidRPr="002E2237">
              <w:rPr>
                <w:rFonts w:eastAsia="Times New Roman" w:cs="Times New Roman"/>
                <w:b/>
                <w:bCs/>
                <w:color w:val="000000"/>
                <w:sz w:val="22"/>
              </w:rPr>
              <w:t>Ventura</w:t>
            </w:r>
            <w:r w:rsidRPr="002E2237">
              <w:rPr>
                <w:rFonts w:eastAsia="Times New Roman" w:cs="Times New Roman"/>
                <w:color w:val="000000"/>
                <w:sz w:val="22"/>
              </w:rPr>
              <w:t>, County of</w:t>
            </w:r>
          </w:p>
        </w:tc>
        <w:tc>
          <w:tcPr>
            <w:tcW w:w="1659"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$22,872</w:t>
            </w:r>
          </w:p>
        </w:tc>
        <w:tc>
          <w:tcPr>
            <w:tcW w:w="2200"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$49,723</w:t>
            </w:r>
          </w:p>
        </w:tc>
        <w:tc>
          <w:tcPr>
            <w:tcW w:w="134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$5,525</w:t>
            </w:r>
          </w:p>
        </w:tc>
        <w:tc>
          <w:tcPr>
            <w:tcW w:w="142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color w:val="000000"/>
                <w:sz w:val="22"/>
              </w:rPr>
            </w:pPr>
            <w:r w:rsidRPr="002E2237">
              <w:rPr>
                <w:rFonts w:eastAsia="Times New Roman" w:cs="Times New Roman"/>
                <w:color w:val="000000"/>
                <w:sz w:val="22"/>
              </w:rPr>
              <w:t>$55,248</w:t>
            </w:r>
          </w:p>
        </w:tc>
      </w:tr>
      <w:tr w:rsidR="002E2237" w:rsidRPr="002E2237" w:rsidTr="002E2237">
        <w:trPr>
          <w:trHeight w:val="315"/>
          <w:jc w:val="center"/>
        </w:trPr>
        <w:tc>
          <w:tcPr>
            <w:tcW w:w="3293" w:type="dxa"/>
            <w:tcBorders>
              <w:top w:val="nil"/>
              <w:left w:val="single" w:sz="8" w:space="0" w:color="auto"/>
              <w:bottom w:val="single" w:sz="8" w:space="0" w:color="auto"/>
              <w:right w:val="single" w:sz="8" w:space="0" w:color="auto"/>
            </w:tcBorders>
            <w:noWrap/>
            <w:vAlign w:val="center"/>
            <w:hideMark/>
          </w:tcPr>
          <w:p w:rsidR="002E2237" w:rsidRPr="002E2237" w:rsidRDefault="002E2237" w:rsidP="002E2237">
            <w:pPr>
              <w:spacing w:before="0" w:after="0"/>
              <w:jc w:val="right"/>
              <w:rPr>
                <w:rFonts w:eastAsia="Times New Roman" w:cs="Times New Roman"/>
                <w:b/>
                <w:bCs/>
                <w:color w:val="000000"/>
                <w:sz w:val="22"/>
              </w:rPr>
            </w:pPr>
            <w:r w:rsidRPr="002E2237">
              <w:rPr>
                <w:rFonts w:eastAsia="Times New Roman" w:cs="Times New Roman"/>
                <w:b/>
                <w:bCs/>
                <w:color w:val="000000"/>
                <w:sz w:val="22"/>
              </w:rPr>
              <w:t>TOTALS</w:t>
            </w:r>
          </w:p>
        </w:tc>
        <w:tc>
          <w:tcPr>
            <w:tcW w:w="1659"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b/>
                <w:bCs/>
                <w:color w:val="000000"/>
                <w:sz w:val="22"/>
              </w:rPr>
            </w:pPr>
            <w:r w:rsidRPr="002E2237">
              <w:rPr>
                <w:rFonts w:eastAsia="Times New Roman" w:cs="Times New Roman"/>
                <w:b/>
                <w:bCs/>
                <w:color w:val="000000"/>
                <w:sz w:val="22"/>
              </w:rPr>
              <w:t>$890,755</w:t>
            </w:r>
          </w:p>
        </w:tc>
        <w:tc>
          <w:tcPr>
            <w:tcW w:w="2200" w:type="dxa"/>
            <w:tcBorders>
              <w:top w:val="nil"/>
              <w:left w:val="nil"/>
              <w:bottom w:val="single" w:sz="8" w:space="0" w:color="auto"/>
              <w:right w:val="single" w:sz="8" w:space="0" w:color="auto"/>
            </w:tcBorders>
            <w:noWrap/>
            <w:vAlign w:val="center"/>
            <w:hideMark/>
          </w:tcPr>
          <w:p w:rsidR="002E2237" w:rsidRPr="002E2237" w:rsidRDefault="002E2237" w:rsidP="002E2237">
            <w:pPr>
              <w:spacing w:before="0" w:after="0"/>
              <w:jc w:val="center"/>
              <w:rPr>
                <w:rFonts w:eastAsia="Times New Roman" w:cs="Times New Roman"/>
                <w:b/>
                <w:bCs/>
                <w:color w:val="000000"/>
                <w:sz w:val="22"/>
              </w:rPr>
            </w:pPr>
            <w:r w:rsidRPr="002E2237">
              <w:rPr>
                <w:rFonts w:eastAsia="Times New Roman" w:cs="Times New Roman"/>
                <w:b/>
                <w:bCs/>
                <w:color w:val="000000"/>
                <w:sz w:val="22"/>
              </w:rPr>
              <w:t>$1,936,480</w:t>
            </w:r>
          </w:p>
        </w:tc>
        <w:tc>
          <w:tcPr>
            <w:tcW w:w="134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b/>
                <w:bCs/>
                <w:color w:val="000000"/>
                <w:sz w:val="22"/>
              </w:rPr>
            </w:pPr>
            <w:r w:rsidRPr="002E2237">
              <w:rPr>
                <w:rFonts w:eastAsia="Times New Roman" w:cs="Times New Roman"/>
                <w:b/>
                <w:bCs/>
                <w:color w:val="000000"/>
                <w:sz w:val="22"/>
              </w:rPr>
              <w:t>$215,166</w:t>
            </w:r>
          </w:p>
        </w:tc>
        <w:tc>
          <w:tcPr>
            <w:tcW w:w="1420" w:type="dxa"/>
            <w:tcBorders>
              <w:top w:val="nil"/>
              <w:left w:val="nil"/>
              <w:bottom w:val="single" w:sz="8" w:space="0" w:color="auto"/>
              <w:right w:val="single" w:sz="8" w:space="0" w:color="auto"/>
            </w:tcBorders>
            <w:noWrap/>
            <w:vAlign w:val="center"/>
          </w:tcPr>
          <w:p w:rsidR="002E2237" w:rsidRPr="002E2237" w:rsidRDefault="002E2237" w:rsidP="002E2237">
            <w:pPr>
              <w:spacing w:before="0" w:after="0"/>
              <w:jc w:val="center"/>
              <w:rPr>
                <w:rFonts w:eastAsia="Times New Roman" w:cs="Times New Roman"/>
                <w:b/>
                <w:bCs/>
                <w:color w:val="000000"/>
                <w:sz w:val="22"/>
              </w:rPr>
            </w:pPr>
            <w:r w:rsidRPr="002E2237">
              <w:rPr>
                <w:rFonts w:eastAsia="Times New Roman" w:cs="Times New Roman"/>
                <w:b/>
                <w:bCs/>
                <w:color w:val="000000"/>
                <w:sz w:val="22"/>
              </w:rPr>
              <w:t>$2,151,646</w:t>
            </w:r>
          </w:p>
        </w:tc>
      </w:tr>
    </w:tbl>
    <w:p w:rsidR="00043A8F" w:rsidRPr="00DC56B9" w:rsidRDefault="00043A8F" w:rsidP="002E2237">
      <w:pPr>
        <w:jc w:val="both"/>
      </w:pPr>
    </w:p>
    <w:sectPr w:rsidR="00043A8F" w:rsidRPr="00DC56B9" w:rsidSect="002E2237">
      <w:headerReference w:type="default" r:id="rId9"/>
      <w:pgSz w:w="12240" w:h="15840" w:code="1"/>
      <w:pgMar w:top="2160" w:right="1080" w:bottom="90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06E" w:rsidRDefault="00FC606E" w:rsidP="00D141BA">
      <w:pPr>
        <w:spacing w:before="0" w:after="0"/>
      </w:pPr>
      <w:r>
        <w:separator/>
      </w:r>
    </w:p>
  </w:endnote>
  <w:endnote w:type="continuationSeparator" w:id="0">
    <w:p w:rsidR="00FC606E" w:rsidRDefault="00FC606E" w:rsidP="00D141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06E" w:rsidRDefault="00FC606E" w:rsidP="00D141BA">
      <w:pPr>
        <w:spacing w:before="0" w:after="0"/>
      </w:pPr>
      <w:r>
        <w:separator/>
      </w:r>
    </w:p>
  </w:footnote>
  <w:footnote w:type="continuationSeparator" w:id="0">
    <w:p w:rsidR="00FC606E" w:rsidRDefault="00FC606E" w:rsidP="00D141B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1BA" w:rsidRDefault="00D141BA">
    <w:pPr>
      <w:pStyle w:val="Header"/>
    </w:pPr>
    <w:r>
      <w:t>City Managers and County Administrative Officers</w:t>
    </w:r>
    <w:r>
      <w:br/>
      <w:t>Chief Probation Officers of California (CPOC)</w:t>
    </w:r>
    <w:r>
      <w:br/>
      <w:t>Current JABG Project Directors and Financial Officers</w:t>
    </w:r>
    <w:r>
      <w:br/>
      <w:t>Page 2</w:t>
    </w:r>
  </w:p>
  <w:p w:rsidR="00D141BA" w:rsidRDefault="00D141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C67"/>
    <w:rsid w:val="00043A8F"/>
    <w:rsid w:val="000E560C"/>
    <w:rsid w:val="000E5C74"/>
    <w:rsid w:val="0010014D"/>
    <w:rsid w:val="001104CA"/>
    <w:rsid w:val="001438B4"/>
    <w:rsid w:val="00156894"/>
    <w:rsid w:val="001E4EBA"/>
    <w:rsid w:val="001E53D1"/>
    <w:rsid w:val="00203730"/>
    <w:rsid w:val="00294964"/>
    <w:rsid w:val="002D4EF5"/>
    <w:rsid w:val="002E2237"/>
    <w:rsid w:val="002E7B26"/>
    <w:rsid w:val="003827EB"/>
    <w:rsid w:val="003D26A2"/>
    <w:rsid w:val="00421806"/>
    <w:rsid w:val="004574DF"/>
    <w:rsid w:val="00466907"/>
    <w:rsid w:val="004D7EA6"/>
    <w:rsid w:val="004F235B"/>
    <w:rsid w:val="00524AE0"/>
    <w:rsid w:val="00540C67"/>
    <w:rsid w:val="005734AA"/>
    <w:rsid w:val="005A4C37"/>
    <w:rsid w:val="005C1263"/>
    <w:rsid w:val="00616D6E"/>
    <w:rsid w:val="00632227"/>
    <w:rsid w:val="006621F7"/>
    <w:rsid w:val="00731FC8"/>
    <w:rsid w:val="0074000D"/>
    <w:rsid w:val="00761752"/>
    <w:rsid w:val="00796F18"/>
    <w:rsid w:val="008470C8"/>
    <w:rsid w:val="009163AF"/>
    <w:rsid w:val="00973670"/>
    <w:rsid w:val="00986AA8"/>
    <w:rsid w:val="00A853CB"/>
    <w:rsid w:val="00AA0638"/>
    <w:rsid w:val="00B015B6"/>
    <w:rsid w:val="00B120CE"/>
    <w:rsid w:val="00B51684"/>
    <w:rsid w:val="00BF1D5E"/>
    <w:rsid w:val="00BF498A"/>
    <w:rsid w:val="00CB1DB2"/>
    <w:rsid w:val="00CD63A4"/>
    <w:rsid w:val="00CF282D"/>
    <w:rsid w:val="00D141BA"/>
    <w:rsid w:val="00D437F7"/>
    <w:rsid w:val="00D84B6A"/>
    <w:rsid w:val="00DC56B9"/>
    <w:rsid w:val="00E16ECD"/>
    <w:rsid w:val="00E217BB"/>
    <w:rsid w:val="00E51C08"/>
    <w:rsid w:val="00E74E6B"/>
    <w:rsid w:val="00F20531"/>
    <w:rsid w:val="00F315B6"/>
    <w:rsid w:val="00F33E1C"/>
    <w:rsid w:val="00FC606E"/>
    <w:rsid w:val="00FF0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56E9EB-FFD2-477E-9D7D-C447F990D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0C8"/>
    <w:pPr>
      <w:spacing w:before="120" w:after="12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0C6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C67"/>
    <w:rPr>
      <w:rFonts w:ascii="Tahoma" w:hAnsi="Tahoma" w:cs="Tahoma"/>
      <w:sz w:val="16"/>
      <w:szCs w:val="16"/>
    </w:rPr>
  </w:style>
  <w:style w:type="paragraph" w:styleId="NoSpacing">
    <w:name w:val="No Spacing"/>
    <w:uiPriority w:val="1"/>
    <w:qFormat/>
    <w:rsid w:val="008470C8"/>
    <w:pPr>
      <w:spacing w:after="0" w:line="240" w:lineRule="auto"/>
    </w:pPr>
    <w:rPr>
      <w:rFonts w:ascii="Arial" w:hAnsi="Arial"/>
      <w:sz w:val="24"/>
    </w:rPr>
  </w:style>
  <w:style w:type="character" w:styleId="Hyperlink">
    <w:name w:val="Hyperlink"/>
    <w:basedOn w:val="DefaultParagraphFont"/>
    <w:uiPriority w:val="99"/>
    <w:unhideWhenUsed/>
    <w:rsid w:val="00043A8F"/>
    <w:rPr>
      <w:color w:val="0000FF" w:themeColor="hyperlink"/>
      <w:u w:val="single"/>
    </w:rPr>
  </w:style>
  <w:style w:type="paragraph" w:styleId="Header">
    <w:name w:val="header"/>
    <w:basedOn w:val="Normal"/>
    <w:link w:val="HeaderChar"/>
    <w:uiPriority w:val="99"/>
    <w:unhideWhenUsed/>
    <w:rsid w:val="00D141BA"/>
    <w:pPr>
      <w:tabs>
        <w:tab w:val="center" w:pos="4680"/>
        <w:tab w:val="right" w:pos="9360"/>
      </w:tabs>
      <w:spacing w:before="0" w:after="0"/>
    </w:pPr>
  </w:style>
  <w:style w:type="character" w:customStyle="1" w:styleId="HeaderChar">
    <w:name w:val="Header Char"/>
    <w:basedOn w:val="DefaultParagraphFont"/>
    <w:link w:val="Header"/>
    <w:uiPriority w:val="99"/>
    <w:rsid w:val="00D141BA"/>
    <w:rPr>
      <w:rFonts w:ascii="Arial" w:hAnsi="Arial"/>
      <w:sz w:val="24"/>
    </w:rPr>
  </w:style>
  <w:style w:type="paragraph" w:styleId="Footer">
    <w:name w:val="footer"/>
    <w:basedOn w:val="Normal"/>
    <w:link w:val="FooterChar"/>
    <w:uiPriority w:val="99"/>
    <w:unhideWhenUsed/>
    <w:rsid w:val="00D141BA"/>
    <w:pPr>
      <w:tabs>
        <w:tab w:val="center" w:pos="4680"/>
        <w:tab w:val="right" w:pos="9360"/>
      </w:tabs>
      <w:spacing w:before="0" w:after="0"/>
    </w:pPr>
  </w:style>
  <w:style w:type="character" w:customStyle="1" w:styleId="FooterChar">
    <w:name w:val="Footer Char"/>
    <w:basedOn w:val="DefaultParagraphFont"/>
    <w:link w:val="Footer"/>
    <w:uiPriority w:val="99"/>
    <w:rsid w:val="00D141BA"/>
    <w:rPr>
      <w:rFonts w:ascii="Arial" w:hAnsi="Arial"/>
      <w:sz w:val="24"/>
    </w:rPr>
  </w:style>
  <w:style w:type="character" w:styleId="CommentReference">
    <w:name w:val="annotation reference"/>
    <w:rsid w:val="00761752"/>
    <w:rPr>
      <w:sz w:val="16"/>
      <w:szCs w:val="16"/>
    </w:rPr>
  </w:style>
  <w:style w:type="paragraph" w:styleId="CommentText">
    <w:name w:val="annotation text"/>
    <w:basedOn w:val="Normal"/>
    <w:link w:val="CommentTextChar"/>
    <w:rsid w:val="00761752"/>
    <w:pPr>
      <w:spacing w:before="0" w:after="0"/>
    </w:pPr>
    <w:rPr>
      <w:rFonts w:eastAsia="Times New Roman" w:cs="Times New Roman"/>
      <w:sz w:val="20"/>
      <w:szCs w:val="20"/>
    </w:rPr>
  </w:style>
  <w:style w:type="character" w:customStyle="1" w:styleId="CommentTextChar">
    <w:name w:val="Comment Text Char"/>
    <w:basedOn w:val="DefaultParagraphFont"/>
    <w:link w:val="CommentText"/>
    <w:rsid w:val="00761752"/>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lleen.stoner@bscc.ca.gov" TargetMode="External"/><Relationship Id="rId3" Type="http://schemas.openxmlformats.org/officeDocument/2006/relationships/webSettings" Target="webSettings.xml"/><Relationship Id="rId7" Type="http://schemas.openxmlformats.org/officeDocument/2006/relationships/hyperlink" Target="http://www.bscc.c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5CA72297</Template>
  <TotalTime>0</TotalTime>
  <Pages>2</Pages>
  <Words>654</Words>
  <Characters>3734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CDCR</Company>
  <LinksUpToDate>false</LinksUpToDate>
  <CharactersWithSpaces>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kally.pile</dc:creator>
  <cp:lastModifiedBy>Ermelinda Angulo</cp:lastModifiedBy>
  <cp:revision>2</cp:revision>
  <cp:lastPrinted>2014-11-06T00:14:00Z</cp:lastPrinted>
  <dcterms:created xsi:type="dcterms:W3CDTF">2015-04-24T18:11:00Z</dcterms:created>
  <dcterms:modified xsi:type="dcterms:W3CDTF">2015-04-24T18:11:00Z</dcterms:modified>
</cp:coreProperties>
</file>