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41573" w14:textId="77777777" w:rsidR="00625D1F" w:rsidRDefault="00625D1F">
      <w:pPr>
        <w:pStyle w:val="BodyText"/>
        <w:spacing w:before="4"/>
        <w:rPr>
          <w:rFonts w:ascii="Times New Roman"/>
          <w:sz w:val="20"/>
        </w:rPr>
      </w:pPr>
    </w:p>
    <w:p w14:paraId="68E79A4B" w14:textId="77777777" w:rsidR="00625D1F" w:rsidRDefault="009C0D57">
      <w:pPr>
        <w:pStyle w:val="Title"/>
      </w:pPr>
      <w:r>
        <w:rPr>
          <w:color w:val="FFFFFF"/>
        </w:rPr>
        <w:t>FACT</w:t>
      </w:r>
      <w:r>
        <w:rPr>
          <w:color w:val="FFFFFF"/>
          <w:spacing w:val="-22"/>
        </w:rPr>
        <w:t xml:space="preserve"> </w:t>
      </w:r>
      <w:r>
        <w:rPr>
          <w:color w:val="FFFFFF"/>
          <w:spacing w:val="-2"/>
        </w:rPr>
        <w:t>SHEET</w:t>
      </w:r>
    </w:p>
    <w:p w14:paraId="18170DF6" w14:textId="77777777" w:rsidR="00625D1F" w:rsidRDefault="00625D1F">
      <w:pPr>
        <w:pStyle w:val="BodyText"/>
        <w:rPr>
          <w:b/>
          <w:sz w:val="20"/>
        </w:rPr>
      </w:pPr>
    </w:p>
    <w:p w14:paraId="477F5143" w14:textId="77777777" w:rsidR="00625D1F" w:rsidRDefault="00625D1F">
      <w:pPr>
        <w:pStyle w:val="BodyText"/>
        <w:rPr>
          <w:b/>
          <w:sz w:val="18"/>
        </w:rPr>
      </w:pPr>
    </w:p>
    <w:p w14:paraId="7A5D4856" w14:textId="77777777" w:rsidR="00625D1F" w:rsidRDefault="00625D1F">
      <w:pPr>
        <w:rPr>
          <w:sz w:val="18"/>
        </w:rPr>
        <w:sectPr w:rsidR="00625D1F">
          <w:type w:val="continuous"/>
          <w:pgSz w:w="12240" w:h="15840"/>
          <w:pgMar w:top="560" w:right="1060" w:bottom="0" w:left="620" w:header="720" w:footer="720" w:gutter="0"/>
          <w:cols w:space="720"/>
        </w:sectPr>
      </w:pPr>
    </w:p>
    <w:p w14:paraId="67ACF2A4" w14:textId="77777777" w:rsidR="00625D1F" w:rsidRDefault="009C0D57">
      <w:pPr>
        <w:pStyle w:val="Heading1"/>
        <w:spacing w:before="91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A86613E" wp14:editId="004D40FF">
            <wp:simplePos x="0" y="0"/>
            <wp:positionH relativeFrom="page">
              <wp:posOffset>458469</wp:posOffset>
            </wp:positionH>
            <wp:positionV relativeFrom="paragraph">
              <wp:posOffset>439697</wp:posOffset>
            </wp:positionV>
            <wp:extent cx="1339850" cy="11468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1146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3"/>
        </w:rPr>
        <w:t>The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JJDPA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Court</w:t>
      </w:r>
      <w:r>
        <w:rPr>
          <w:color w:val="1F3863"/>
          <w:spacing w:val="-8"/>
        </w:rPr>
        <w:t xml:space="preserve"> </w:t>
      </w:r>
      <w:r>
        <w:rPr>
          <w:color w:val="1F3863"/>
        </w:rPr>
        <w:t>Holding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Facilities</w:t>
      </w:r>
    </w:p>
    <w:p w14:paraId="70E570E4" w14:textId="77777777" w:rsidR="00625D1F" w:rsidRDefault="009C0D57">
      <w:pPr>
        <w:spacing w:before="3"/>
        <w:rPr>
          <w:b/>
          <w:sz w:val="44"/>
        </w:rPr>
      </w:pPr>
      <w:r>
        <w:br w:type="column"/>
      </w:r>
    </w:p>
    <w:p w14:paraId="2D28C993" w14:textId="77777777" w:rsidR="00625D1F" w:rsidRDefault="009C0D57">
      <w:pPr>
        <w:pStyle w:val="Heading1"/>
        <w:ind w:left="750" w:hanging="101"/>
      </w:pPr>
      <w:r>
        <w:rPr>
          <w:color w:val="FFFFFF"/>
          <w:spacing w:val="-2"/>
        </w:rPr>
        <w:t>Monitoring Authority</w:t>
      </w:r>
    </w:p>
    <w:p w14:paraId="10C9D1DD" w14:textId="77777777" w:rsidR="00625D1F" w:rsidRDefault="00625D1F">
      <w:pPr>
        <w:pStyle w:val="BodyText"/>
        <w:spacing w:before="1"/>
        <w:rPr>
          <w:b/>
        </w:rPr>
      </w:pPr>
    </w:p>
    <w:p w14:paraId="2984CD60" w14:textId="77777777" w:rsidR="00625D1F" w:rsidRDefault="009C0D57">
      <w:pPr>
        <w:pStyle w:val="BodyText"/>
        <w:ind w:left="100" w:right="146"/>
      </w:pPr>
      <w:r>
        <w:rPr>
          <w:color w:val="FFFFFF"/>
        </w:rPr>
        <w:t>The Federal Juvenile Justice and Delinquency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 xml:space="preserve">Prevention Act (JJDPA) and </w:t>
      </w:r>
      <w:r>
        <w:rPr>
          <w:color w:val="FFFFFF"/>
          <w:u w:val="single" w:color="FFFFFF"/>
        </w:rPr>
        <w:t>Welfare</w:t>
      </w:r>
      <w:r>
        <w:rPr>
          <w:color w:val="FFFFFF"/>
          <w:spacing w:val="-7"/>
          <w:u w:val="single" w:color="FFFFFF"/>
        </w:rPr>
        <w:t xml:space="preserve"> </w:t>
      </w:r>
      <w:r>
        <w:rPr>
          <w:color w:val="FFFFFF"/>
          <w:u w:val="single" w:color="FFFFFF"/>
        </w:rPr>
        <w:t>and</w:t>
      </w:r>
      <w:r>
        <w:rPr>
          <w:color w:val="FFFFFF"/>
          <w:spacing w:val="-5"/>
          <w:u w:val="single" w:color="FFFFFF"/>
        </w:rPr>
        <w:t xml:space="preserve"> </w:t>
      </w:r>
      <w:r>
        <w:rPr>
          <w:color w:val="FFFFFF"/>
          <w:u w:val="single" w:color="FFFFFF"/>
        </w:rPr>
        <w:t>Institutions</w:t>
      </w:r>
      <w:r>
        <w:rPr>
          <w:color w:val="FFFFFF"/>
        </w:rPr>
        <w:t xml:space="preserve"> </w:t>
      </w:r>
      <w:r>
        <w:rPr>
          <w:color w:val="FFFFFF"/>
          <w:u w:val="single" w:color="FFFFFF"/>
        </w:rPr>
        <w:t>Code (WIC) §209(f)</w:t>
      </w:r>
      <w:r>
        <w:rPr>
          <w:color w:val="FFFFFF"/>
        </w:rPr>
        <w:t xml:space="preserve"> require the Board of State and Community Corrections (BSCC) to monitor facilities that hold minors in</w:t>
      </w:r>
      <w:r>
        <w:rPr>
          <w:color w:val="FFFFFF"/>
          <w:spacing w:val="40"/>
        </w:rPr>
        <w:t xml:space="preserve"> </w:t>
      </w:r>
      <w:r>
        <w:rPr>
          <w:color w:val="FFFFFF"/>
        </w:rPr>
        <w:t>detention for compliance with three core requirements.</w:t>
      </w:r>
    </w:p>
    <w:p w14:paraId="66C7974B" w14:textId="77777777" w:rsidR="00625D1F" w:rsidRDefault="00625D1F">
      <w:pPr>
        <w:pStyle w:val="BodyText"/>
        <w:spacing w:before="1"/>
      </w:pPr>
    </w:p>
    <w:p w14:paraId="1203F3A9" w14:textId="77777777" w:rsidR="00625D1F" w:rsidRDefault="009C0D57">
      <w:pPr>
        <w:pStyle w:val="BodyText"/>
        <w:ind w:left="100"/>
      </w:pPr>
      <w:r>
        <w:rPr>
          <w:color w:val="FFFFFF"/>
        </w:rPr>
        <w:t>Additionally,</w:t>
      </w:r>
      <w:r>
        <w:rPr>
          <w:color w:val="FFFFFF"/>
          <w:spacing w:val="-7"/>
        </w:rPr>
        <w:t xml:space="preserve"> </w:t>
      </w:r>
      <w:r>
        <w:rPr>
          <w:color w:val="FFFFFF"/>
          <w:spacing w:val="-5"/>
          <w:u w:val="single" w:color="FFFFFF"/>
        </w:rPr>
        <w:t>WIC</w:t>
      </w:r>
    </w:p>
    <w:p w14:paraId="3CA764F3" w14:textId="77777777" w:rsidR="00625D1F" w:rsidRDefault="009C0D57">
      <w:pPr>
        <w:pStyle w:val="BodyText"/>
        <w:ind w:left="100" w:right="128"/>
      </w:pPr>
      <w:r>
        <w:rPr>
          <w:color w:val="FFFFFF"/>
          <w:u w:val="single" w:color="FFFFFF"/>
        </w:rPr>
        <w:t>§210.2</w:t>
      </w:r>
      <w:r>
        <w:rPr>
          <w:color w:val="FFFFFF"/>
        </w:rPr>
        <w:t xml:space="preserve"> requires the BSCC to survey law enforcement agencies regarding the processing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minors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to ensure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compliance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with WIC §207.1(d).</w:t>
      </w:r>
    </w:p>
    <w:p w14:paraId="7CD88DD9" w14:textId="77777777" w:rsidR="00625D1F" w:rsidRDefault="00625D1F">
      <w:pPr>
        <w:sectPr w:rsidR="00625D1F">
          <w:type w:val="continuous"/>
          <w:pgSz w:w="12240" w:h="15840"/>
          <w:pgMar w:top="560" w:right="1060" w:bottom="0" w:left="620" w:header="720" w:footer="720" w:gutter="0"/>
          <w:cols w:num="2" w:space="720" w:equalWidth="0">
            <w:col w:w="7297" w:space="480"/>
            <w:col w:w="2783"/>
          </w:cols>
        </w:sectPr>
      </w:pPr>
    </w:p>
    <w:p w14:paraId="1AC6BA4A" w14:textId="77777777" w:rsidR="00625D1F" w:rsidRDefault="00AD325A">
      <w:pPr>
        <w:pStyle w:val="BodyText"/>
        <w:rPr>
          <w:sz w:val="20"/>
        </w:rPr>
      </w:pPr>
      <w:r>
        <w:pict w14:anchorId="2EC33654">
          <v:group id="docshapegroup1" o:spid="_x0000_s1036" style="position:absolute;margin-left:36.1pt;margin-top:742.2pt;width:539.3pt;height:33.3pt;z-index:15729664;mso-position-horizontal-relative:page;mso-position-vertical-relative:page" coordorigin="722,14844" coordsize="10786,666">
            <v:rect id="docshape2" o:spid="_x0000_s1039" style="position:absolute;left:742;top:15470;width:10766;height:40" fillcolor="#1f3762" stroked="f">
              <v:fill opacity="32896f"/>
            </v:rect>
            <v:rect id="docshape3" o:spid="_x0000_s1038" style="position:absolute;left:722;top:14844;width:10766;height:626" fillcolor="#001f5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7" type="#_x0000_t202" style="position:absolute;left:722;top:14844;width:10766;height:626" filled="f" stroked="f">
              <v:textbox inset="0,0,0,0">
                <w:txbxContent>
                  <w:p w14:paraId="2302951A" w14:textId="77777777" w:rsidR="00625D1F" w:rsidRDefault="009C0D57">
                    <w:pPr>
                      <w:spacing w:before="35"/>
                      <w:ind w:left="3642" w:hanging="1479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This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document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may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be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found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under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the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“Youth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in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Detention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>Facilities”</w:t>
                    </w:r>
                    <w:r>
                      <w:rPr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FFFFFF"/>
                        <w:sz w:val="20"/>
                      </w:rPr>
                      <w:t xml:space="preserve">at: </w:t>
                    </w:r>
                    <w:hyperlink r:id="rId6">
                      <w:r>
                        <w:rPr>
                          <w:color w:val="FFFFFF"/>
                          <w:spacing w:val="-2"/>
                          <w:sz w:val="20"/>
                          <w:u w:val="single" w:color="FFFFFF"/>
                        </w:rPr>
                        <w:t>https://www.bscc.ca.gov/s_fsoservices/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>
        <w:pict w14:anchorId="1207F722">
          <v:group id="docshapegroup5" o:spid="_x0000_s1028" style="position:absolute;margin-left:37pt;margin-top:28pt;width:539.3pt;height:651.85pt;z-index:-15784448;mso-position-horizontal-relative:page;mso-position-vertical-relative:page" coordorigin="740,560" coordsize="10786,13037">
            <v:rect id="docshape6" o:spid="_x0000_s1035" style="position:absolute;left:760;top:1866;width:10766;height:40" fillcolor="#1f3762" stroked="f">
              <v:fill opacity="32896f"/>
            </v:rect>
            <v:rect id="docshape7" o:spid="_x0000_s1034" style="position:absolute;left:740;top:720;width:10766;height:1146" fillcolor="#001f5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8" o:spid="_x0000_s1033" type="#_x0000_t75" style="position:absolute;left:7953;top:560;width:3164;height:1462">
              <v:imagedata r:id="rId7" o:title=""/>
            </v:shape>
            <v:shape id="docshape9" o:spid="_x0000_s1032" style="position:absolute;left:8228;top:2162;width:3164;height:8705" coordorigin="8228,2162" coordsize="3164,8705" path="m10865,2162r-2110,l8677,2168r-74,16l8533,2211r-65,36l8409,2291r-52,52l8313,2402r-36,65l8250,2537r-16,74l8228,2689r,7651l8234,10418r16,74l8277,10562r36,65l8357,10686r52,52l8468,10782r65,36l8603,10845r74,16l8755,10867r2110,l10943,10861r74,-16l11087,10818r65,-36l11211,10738r52,-52l11307,10627r36,-65l11370,10492r16,-74l11392,10340r,-7651l11386,2611r-16,-74l11343,2467r-36,-65l11263,2343r-52,-52l11152,2247r-65,-36l11017,2184r-74,-16l10865,2162xe" fillcolor="#2e5395" stroked="f">
              <v:path arrowok="t"/>
            </v:shape>
            <v:shape id="docshape10" o:spid="_x0000_s1031" style="position:absolute;left:8128;top:2067;width:3364;height:8900" coordorigin="8128,2067" coordsize="3364,8900" o:spt="100" adj="0,,0" path="m11049,10947r-2453,l8627,10967r2392,l11049,10947xm11135,10907r-2654,l8509,10927r28,20l11078,10947r57,-40xm8513,2187r-131,l8358,2207r-23,20l8313,2247r-20,20l8273,2307r-19,20l8237,2347r-17,20l8205,2407r-14,20l8178,2447r-11,40l8157,2507r-8,40l8141,2567r-5,40l8132,2627r-3,40l8128,2707r,7640l8129,10387r2,20l8135,10447r5,20l8147,10507r9,20l8165,10567r11,20l8189,10627r14,20l8218,10667r16,40l8251,10727r19,20l8289,10767r43,40l8354,10827r24,20l8403,10867r25,20l8454,10907r188,l8614,10887r-26,l8562,10867r-26,l8512,10847r-25,l8464,10827r-23,-20l8419,10807r-21,-20l8378,10767r-19,-20l8340,10727r-18,-20l8306,10687r-16,-20l8276,10647r-14,-40l8250,10587r-12,-20l8228,10547r-8,-40l8212,10487r-6,-20l8201,10427r-3,-20l8196,10387r-1,-40l8195,2707r,-40l8198,2647r3,-40l8206,2587r7,-20l8220,2527r9,-20l8239,2487r11,-40l8263,2427r13,-20l8291,2387r16,-20l8323,2347r18,-20l8360,2307r19,-20l8399,2267r22,-20l8443,2227r22,l8513,2187xm11166,2147r-160,l11032,2167r26,l11084,2187r25,l11133,2207r23,20l11179,2227r22,20l11222,2267r20,20l11262,2307r18,20l11298,2347r17,20l11330,2387r15,20l11358,2427r12,20l11382,2487r10,20l11400,2527r8,40l11414,2587r5,20l11423,2647r2,20l11425,2707r,7640l11425,10387r-3,20l11419,10427r-5,40l11407,10487r-7,40l11391,10547r-10,20l11370,10587r-13,40l11344,10647r-15,20l11314,10687r-17,20l11279,10727r-18,20l11241,10767r-20,20l11200,10807r-22,l11155,10827r-24,20l11107,10847r-25,20l11057,10867r-26,20l11004,10887r-27,20l11161,10907r27,-20l11214,10867r24,-20l11262,10827r23,-20l11307,10787r20,-20l11347,10747r19,-20l11384,10707r16,-40l11415,10647r14,-20l11442,10587r11,-20l11463,10547r9,-40l11479,10487r5,-40l11489,10407r2,-20l11492,10347r,-7640l11491,2667r-2,-20l11485,2607r-5,-40l11473,2547r-8,-40l11455,2487r-11,-20l11431,2427r-13,-20l11402,2367r-16,-20l11369,2327r-19,-20l11331,2287r-21,-20l11288,2227r-22,-20l11242,2207r-25,-20l11166,2147xm10965,10827r-2309,l8681,10847r2260,l10965,10827xm11035,10807r-2449,l8609,10827r2404,l11035,10807xm11080,10787r-2538,l8564,10807r2494,l11080,10787xm11122,10767r-2622,l8521,10787r2580,l11122,10767xm8536,10707r-112,l8442,10727r19,20l8480,10767r150,l8611,10747r-19,l8572,10727r-18,l8536,10707xm11197,10707r-109,l11071,10727r-19,l11033,10747r-39,l10974,10767r168,l11161,10747r19,-20l11197,10707xm8532,2327r-109,l8406,2347r-17,20l8374,2387r-15,20l8345,2427r-12,20l8321,2467r-11,20l8300,2507r-9,20l8283,2547r-6,20l8271,2607r-4,20l8264,2647r-2,20l8261,2707r,7640l8262,10367r2,40l8267,10427r5,20l8277,10467r7,40l8292,10527r9,20l8310,10567r11,20l8333,10607r13,20l8360,10647r15,20l8390,10687r17,20l8519,10707r-17,-20l8485,10687r-15,-20l8455,10647r-14,l8427,10627r-13,-20l8402,10587r-11,-20l8381,10547r-10,l8363,10527r-8,-20l8348,10487r-6,-20l8337,10447r-4,-20l8331,10387r-2,-20l8328,10347r,-7640l8328,2687r2,-20l8333,2627r3,-20l8341,2587r6,-20l8353,2547r8,-20l8369,2507r9,l8389,2487r11,-20l8411,2447r26,-40l8452,2407r14,-20l8482,2367r16,l8515,2347r17,-20xm11196,2327r-112,l11102,2347r16,l11135,2367r15,20l11165,2387r15,20l11193,2427r13,20l11218,2467r11,l11239,2487r10,20l11258,2527r7,20l11272,2567r6,20l11283,2607r4,20l11290,2647r1,20l11292,2707r,7640l11292,10367r-2,20l11287,10407r-3,20l11279,10447r-5,20l11267,10487r-7,20l11251,10527r-9,20l11231,10567r-10,20l11209,10607r-13,20l11183,10627r-29,40l11138,10687r-16,l11106,10707r108,l11231,10687r15,-20l11261,10647r14,-20l11288,10607r12,-20l11310,10567r10,-20l11329,10527r8,-40l11343,10467r6,-20l11353,10427r3,-20l11358,10367r1,-20l11359,2707r-1,-40l11356,2647r-3,-20l11349,2607r-6,-40l11336,2547r-7,-20l11320,2507r-10,-20l11299,2467r-12,-20l11274,2427r-14,-20l11245,2387r-15,-20l11213,2347r-17,-20xm8626,2287r-147,l8459,2307r-18,20l8550,2327r18,-20l8606,2307r20,-20xm11120,2267r-193,l10949,2287r60,l11029,2307r19,l11066,2327r112,l11160,2307r-20,-20l11120,2267xm11078,2247r-2537,l8519,2267r-20,20l8688,2287r21,-20l11099,2267r-21,-20xm11034,2227r-2449,l8562,2247r2494,l11034,2227xm10964,2207r-2309,l8631,2227r2356,l10964,2207xm11139,2127r-2654,l8432,2167r-25,20l8538,2187r25,-20l8590,2167r26,-20l11166,2147r-27,-20xm11083,2107r-2541,l8514,2127r2597,l11083,2107xm11024,2087r-2423,l8572,2107r2482,l11024,2087xm10931,2067r-2237,l8662,2087r2301,l10931,2067xe" fillcolor="#4471c4" stroked="f">
              <v:stroke joinstyle="round"/>
              <v:formulas/>
              <v:path arrowok="t" o:connecttype="segments"/>
            </v:shape>
            <v:shape id="docshape11" o:spid="_x0000_s1030" style="position:absolute;left:8228;top:11085;width:3164;height:2412" coordorigin="8228,11085" coordsize="3164,2412" path="m10990,11085r-2360,l8558,11091r-68,19l8427,11140r-56,40l8323,11228r-40,56l8253,11347r-19,68l8228,11487r,1608l8234,13167r19,68l8283,13298r40,56l8371,13402r56,40l8490,13472r68,19l8630,13497r2360,l11062,13491r68,-19l11193,13442r56,-40l11297,13354r40,-56l11367,13235r19,-68l11392,13095r,-1608l11386,11415r-19,-68l11337,11284r-40,-56l11249,11180r-56,-40l11130,11110r-68,-19l10990,11085xe" fillcolor="#bcd5ed" stroked="f">
              <v:path arrowok="t"/>
            </v:shape>
            <v:shape id="docshape12" o:spid="_x0000_s1029" style="position:absolute;left:8128;top:10997;width:3364;height:2600" coordorigin="8128,10997" coordsize="3364,2600" o:spt="100" adj="0,,0" path="m11137,13577r-2659,l8502,13597r2611,l11137,13577xm11165,11017r-2705,l8437,11037r-83,40l8315,11097r-36,40l8246,11177r-29,40l8191,11257r-21,40l8159,11317r-7,20l8145,11377r-6,20l8134,11417r-3,20l8129,11477r-1,20l8128,13117r1,20l8131,13157r3,20l8138,13197r5,40l8150,13257r8,20l8167,13297r19,40l8211,13377r29,40l8272,13457r35,40l8346,13517r40,20l8430,13557r25,20l11183,13577r42,-20l11246,13537r-2704,l8520,13517r-40,l8459,13497r-38,-20l8386,13457r-34,-20l8321,13417r-28,-40l8268,13337r-22,-20l8229,13277r-8,-20l8214,13237r-6,-20l8203,13197r-3,-20l8197,13157r-2,-40l8195,13097r,-1600l8195,11477r2,-20l8200,11437r4,-20l8209,11397r6,-40l8222,11337r8,-20l8248,11297r22,-40l8295,11217r28,-20l8354,11157r34,-20l8424,11117r37,-20l8481,11097r20,-20l8543,11077r22,-20l11233,11057r-43,-20l11165,11017xm11233,11057r-176,l11079,11077r42,l11140,11097r21,l11199,11117r36,20l11268,11157r31,40l11327,11217r25,40l11374,11297r17,40l11399,11357r7,20l11412,11397r5,20l11420,11437r3,20l11425,11477r,20l11425,13097r,40l11423,13157r-3,20l11416,13197r-5,20l11405,13237r-6,20l11390,13277r-18,40l11350,13357r-25,20l11297,13417r-31,20l11232,13457r-36,40l11159,13497r-20,20l11098,13517r-21,20l11246,13537r21,-20l11305,13497r37,-40l11374,13437r30,-40l11429,13357r22,-60l11461,13277r8,-20l11475,13237r6,-20l11486,13177r3,-20l11491,13137r1,-20l11492,11497r,-20l11490,11457r-3,-40l11482,11397r-5,-20l11470,11357r-8,-40l11453,11297r-19,-40l11409,11217r-29,-40l11348,11137r-35,-20l11274,11077r-41,-20xm11065,13457r-2508,l8575,13477r2472,l11065,13457xm11134,13437r-2646,l8504,13457r2613,l11134,13437xm11132,11157r-2646,l8453,11177r-30,20l8394,11217r-26,20l8345,11257r-22,40l8305,11317r-15,40l8284,11377r-6,20l8273,11397r-4,20l8266,11437r-3,20l8262,11477r-1,20l8261,13097r1,20l8263,13137r3,20l8269,13177r4,20l8278,13217r6,20l8291,13257r16,20l8325,13317r22,20l8370,13357r27,40l8425,13417r31,20l11167,13437r30,-20l11226,13397r-2697,l8517,13377r-26,l8465,13357r-23,-20l8420,13317r-20,-20l8382,13277r-15,-20l8353,13217r-6,l8342,13197r-4,-20l8335,13177r-3,-20l8330,13137r-1,-20l8328,13097r,-1600l8328,11477r1,l8331,11457r3,-20l8337,11417r4,l8346,11397r4,-20l8362,11357r15,-20l8394,11317r19,-40l8434,11257r23,l8482,11237r28,-20l8539,11217r13,-20l11195,11197r-31,-20l11132,11157xm11195,11197r-132,l11077,11217r26,l11130,11237r25,l11178,11257r22,20l11220,11297r18,20l11253,11357r14,20l11273,11397r5,l11282,11417r3,20l11288,11457r2,l11292,11477r,20l11292,13117r-1,20l11289,13157r-2,l11283,13177r-4,20l11275,13197r-5,20l11258,13237r-15,40l11226,13297r-19,20l11186,13337r-23,20l11138,13377r-28,l11095,13397r131,l11252,13357r24,-20l11297,13317r18,-40l11330,13237r7,l11342,13217r5,-20l11351,13177r4,-20l11357,13137r1,-20l11359,13097r,-1600l11358,11477r-1,-20l11354,11437r-3,-20l11347,11397r-5,-20l11336,11377r-7,-20l11314,11317r-19,-20l11274,11257r-24,-20l11223,11217r-28,-20xm11099,11137r-2579,l8503,11157r2613,l11099,11137xm11094,10997r-2562,l8507,11017r2611,l11094,10997xe" fillcolor="#4471c4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54E5777B" w14:textId="77777777" w:rsidR="00625D1F" w:rsidRDefault="00625D1F">
      <w:pPr>
        <w:pStyle w:val="BodyText"/>
        <w:rPr>
          <w:sz w:val="20"/>
        </w:rPr>
      </w:pPr>
    </w:p>
    <w:p w14:paraId="02259848" w14:textId="77777777" w:rsidR="00625D1F" w:rsidRDefault="00625D1F">
      <w:pPr>
        <w:pStyle w:val="BodyText"/>
        <w:rPr>
          <w:sz w:val="20"/>
        </w:rPr>
      </w:pPr>
    </w:p>
    <w:p w14:paraId="774FB986" w14:textId="77777777" w:rsidR="00625D1F" w:rsidRDefault="00625D1F">
      <w:pPr>
        <w:pStyle w:val="BodyText"/>
        <w:rPr>
          <w:sz w:val="20"/>
        </w:rPr>
      </w:pPr>
    </w:p>
    <w:p w14:paraId="488D52CD" w14:textId="77777777" w:rsidR="00625D1F" w:rsidRDefault="00625D1F">
      <w:pPr>
        <w:pStyle w:val="BodyText"/>
        <w:rPr>
          <w:sz w:val="20"/>
        </w:rPr>
      </w:pPr>
    </w:p>
    <w:p w14:paraId="70AE5C75" w14:textId="77777777" w:rsidR="00625D1F" w:rsidRDefault="00625D1F">
      <w:pPr>
        <w:pStyle w:val="BodyText"/>
        <w:spacing w:before="1"/>
        <w:rPr>
          <w:sz w:val="20"/>
        </w:rPr>
      </w:pPr>
    </w:p>
    <w:p w14:paraId="6C1DFA79" w14:textId="77777777" w:rsidR="00625D1F" w:rsidRDefault="009C0D57">
      <w:pPr>
        <w:pStyle w:val="Heading1"/>
        <w:spacing w:before="92"/>
        <w:ind w:left="8368" w:right="630"/>
        <w:jc w:val="center"/>
      </w:pPr>
      <w:r>
        <w:rPr>
          <w:noProof/>
        </w:rPr>
        <w:drawing>
          <wp:anchor distT="0" distB="0" distL="0" distR="0" simplePos="0" relativeHeight="487531008" behindDoc="1" locked="0" layoutInCell="1" allowOverlap="1" wp14:anchorId="56A08135" wp14:editId="6689AE63">
            <wp:simplePos x="0" y="0"/>
            <wp:positionH relativeFrom="page">
              <wp:posOffset>3848100</wp:posOffset>
            </wp:positionH>
            <wp:positionV relativeFrom="paragraph">
              <wp:posOffset>-1465937</wp:posOffset>
            </wp:positionV>
            <wp:extent cx="1153795" cy="1177289"/>
            <wp:effectExtent l="0" t="0" r="0" b="0"/>
            <wp:wrapNone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77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325A">
        <w:pict w14:anchorId="4AF3E787">
          <v:shape id="docshape13" o:spid="_x0000_s1027" type="#_x0000_t202" style="position:absolute;left:0;text-align:left;margin-left:42.5pt;margin-top:-423.05pt;width:359.9pt;height:535.3pt;z-index:1573068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198"/>
                  </w:tblGrid>
                  <w:tr w:rsidR="00625D1F" w14:paraId="474EF49A" w14:textId="77777777">
                    <w:trPr>
                      <w:trHeight w:val="6012"/>
                    </w:trPr>
                    <w:tc>
                      <w:tcPr>
                        <w:tcW w:w="7198" w:type="dxa"/>
                      </w:tcPr>
                      <w:p w14:paraId="7C1C275C" w14:textId="77777777" w:rsidR="00625D1F" w:rsidRDefault="009C0D57">
                        <w:pPr>
                          <w:pStyle w:val="TableParagraph"/>
                          <w:spacing w:line="268" w:lineRule="exact"/>
                          <w:ind w:left="216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3863"/>
                            <w:spacing w:val="-2"/>
                            <w:sz w:val="24"/>
                          </w:rPr>
                          <w:t>Overview</w:t>
                        </w:r>
                      </w:p>
                      <w:p w14:paraId="5F1EFF90" w14:textId="77777777" w:rsidR="00625D1F" w:rsidRDefault="00625D1F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14:paraId="433F1CFE" w14:textId="77777777" w:rsidR="00625D1F" w:rsidRDefault="009C0D57">
                        <w:pPr>
                          <w:pStyle w:val="TableParagraph"/>
                          <w:ind w:left="2162" w:right="80"/>
                          <w:rPr>
                            <w:sz w:val="24"/>
                          </w:rPr>
                        </w:pPr>
                        <w:r>
                          <w:rPr>
                            <w:color w:val="3A3838"/>
                            <w:sz w:val="24"/>
                          </w:rPr>
                          <w:t>The</w:t>
                        </w:r>
                        <w:r>
                          <w:rPr>
                            <w:color w:val="3A3838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Federal</w:t>
                        </w:r>
                        <w:r>
                          <w:rPr>
                            <w:color w:val="3A3838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Juvenile</w:t>
                        </w:r>
                        <w:r>
                          <w:rPr>
                            <w:color w:val="3A3838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Justice</w:t>
                        </w:r>
                        <w:r>
                          <w:rPr>
                            <w:color w:val="3A3838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and</w:t>
                        </w:r>
                        <w:r>
                          <w:rPr>
                            <w:color w:val="3A3838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Delinquency Prevention Act (JJDPA)</w:t>
                        </w:r>
                        <w:r>
                          <w:rPr>
                            <w:color w:val="3A3838"/>
                            <w:position w:val="8"/>
                            <w:sz w:val="16"/>
                          </w:rPr>
                          <w:t>1</w:t>
                        </w:r>
                        <w:r>
                          <w:rPr>
                            <w:color w:val="3A3838"/>
                            <w:spacing w:val="40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establishes three core protections for care and custody of minors. These protections are commonly referred to as the JJDPA core requirements:</w:t>
                        </w:r>
                      </w:p>
                      <w:p w14:paraId="67480267" w14:textId="77777777" w:rsidR="00625D1F" w:rsidRDefault="00625D1F">
                        <w:pPr>
                          <w:pStyle w:val="TableParagraph"/>
                          <w:spacing w:before="7"/>
                          <w:rPr>
                            <w:sz w:val="23"/>
                          </w:rPr>
                        </w:pPr>
                      </w:p>
                      <w:p w14:paraId="50912A38" w14:textId="77777777" w:rsidR="00625D1F" w:rsidRDefault="009C0D57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02"/>
                          </w:tabs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3863"/>
                            <w:sz w:val="24"/>
                          </w:rPr>
                          <w:t>Deinstitutionalization</w:t>
                        </w:r>
                        <w:r>
                          <w:rPr>
                            <w:b/>
                            <w:color w:val="1F3863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3863"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color w:val="1F3863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3863"/>
                            <w:sz w:val="24"/>
                          </w:rPr>
                          <w:t>Status</w:t>
                        </w:r>
                        <w:r>
                          <w:rPr>
                            <w:b/>
                            <w:color w:val="1F3863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3863"/>
                            <w:spacing w:val="-2"/>
                            <w:sz w:val="24"/>
                          </w:rPr>
                          <w:t>Offenders</w:t>
                        </w:r>
                      </w:p>
                      <w:p w14:paraId="6C0D8966" w14:textId="77777777" w:rsidR="00625D1F" w:rsidRDefault="009C0D57">
                        <w:pPr>
                          <w:pStyle w:val="TableParagraph"/>
                          <w:ind w:left="590"/>
                          <w:rPr>
                            <w:sz w:val="24"/>
                          </w:rPr>
                        </w:pPr>
                        <w:r>
                          <w:rPr>
                            <w:color w:val="3A3838"/>
                            <w:sz w:val="24"/>
                          </w:rPr>
                          <w:t>Minors</w:t>
                        </w:r>
                        <w:r>
                          <w:rPr>
                            <w:color w:val="3A3838"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who</w:t>
                        </w:r>
                        <w:r>
                          <w:rPr>
                            <w:color w:val="3A3838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are</w:t>
                        </w:r>
                        <w:r>
                          <w:rPr>
                            <w:color w:val="3A3838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charged</w:t>
                        </w:r>
                        <w:r>
                          <w:rPr>
                            <w:color w:val="3A3838"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with</w:t>
                        </w:r>
                        <w:r>
                          <w:rPr>
                            <w:color w:val="3A3838"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only</w:t>
                        </w:r>
                        <w:r>
                          <w:rPr>
                            <w:color w:val="3A3838"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a</w:t>
                        </w:r>
                        <w:r>
                          <w:rPr>
                            <w:color w:val="3A3838"/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status</w:t>
                        </w:r>
                        <w:r>
                          <w:rPr>
                            <w:color w:val="3A3838"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offense</w:t>
                        </w:r>
                        <w:r>
                          <w:rPr>
                            <w:color w:val="3A3838"/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pacing w:val="-4"/>
                            <w:sz w:val="24"/>
                          </w:rPr>
                          <w:t>(WIC</w:t>
                        </w:r>
                      </w:p>
                      <w:p w14:paraId="5E5CECD6" w14:textId="77777777" w:rsidR="00625D1F" w:rsidRDefault="009C0D57">
                        <w:pPr>
                          <w:pStyle w:val="TableParagraph"/>
                          <w:ind w:left="590"/>
                          <w:rPr>
                            <w:sz w:val="24"/>
                          </w:rPr>
                        </w:pPr>
                        <w:r>
                          <w:rPr>
                            <w:color w:val="3A3838"/>
                            <w:sz w:val="24"/>
                          </w:rPr>
                          <w:t>§601) or who</w:t>
                        </w:r>
                        <w:r>
                          <w:rPr>
                            <w:color w:val="3A3838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are nonoffenders (WIC §300)</w:t>
                        </w:r>
                        <w:r>
                          <w:rPr>
                            <w:color w:val="3A3838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A3838"/>
                            <w:sz w:val="24"/>
                            <w:u w:val="single" w:color="3A3838"/>
                          </w:rPr>
                          <w:t>must not</w:t>
                        </w:r>
                        <w:r>
                          <w:rPr>
                            <w:b/>
                            <w:color w:val="3A383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be</w:t>
                        </w:r>
                        <w:r>
                          <w:rPr>
                            <w:color w:val="3A3838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held in secure detention.</w:t>
                        </w:r>
                      </w:p>
                      <w:p w14:paraId="2DF6C567" w14:textId="77777777" w:rsidR="00625D1F" w:rsidRDefault="009C0D57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02"/>
                          </w:tabs>
                          <w:spacing w:before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3863"/>
                            <w:spacing w:val="-2"/>
                            <w:sz w:val="24"/>
                          </w:rPr>
                          <w:t>Separation</w:t>
                        </w:r>
                      </w:p>
                      <w:p w14:paraId="6EFFDD54" w14:textId="77777777" w:rsidR="00625D1F" w:rsidRDefault="009C0D57">
                        <w:pPr>
                          <w:pStyle w:val="TableParagraph"/>
                          <w:ind w:left="590"/>
                          <w:rPr>
                            <w:sz w:val="24"/>
                          </w:rPr>
                        </w:pPr>
                        <w:r>
                          <w:rPr>
                            <w:color w:val="171717"/>
                            <w:sz w:val="24"/>
                          </w:rPr>
                          <w:t xml:space="preserve">Minors held in secure detention </w:t>
                        </w:r>
                        <w:r>
                          <w:rPr>
                            <w:b/>
                            <w:color w:val="171717"/>
                            <w:sz w:val="24"/>
                            <w:u w:val="single" w:color="171717"/>
                          </w:rPr>
                          <w:t xml:space="preserve">must not </w:t>
                        </w:r>
                        <w:r>
                          <w:rPr>
                            <w:color w:val="171717"/>
                            <w:sz w:val="24"/>
                          </w:rPr>
                          <w:t>come into sight or sound contact with adult offenders.</w:t>
                        </w:r>
                      </w:p>
                      <w:p w14:paraId="68DAC258" w14:textId="77777777" w:rsidR="00625D1F" w:rsidRDefault="009C0D57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502"/>
                          </w:tabs>
                          <w:spacing w:before="1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3863"/>
                            <w:sz w:val="24"/>
                          </w:rPr>
                          <w:t>Jail</w:t>
                        </w:r>
                        <w:r>
                          <w:rPr>
                            <w:b/>
                            <w:color w:val="1F3863"/>
                            <w:spacing w:val="-2"/>
                            <w:sz w:val="24"/>
                          </w:rPr>
                          <w:t xml:space="preserve"> Removal</w:t>
                        </w:r>
                      </w:p>
                      <w:p w14:paraId="2B5E9A4A" w14:textId="77777777" w:rsidR="00625D1F" w:rsidRDefault="009C0D57">
                        <w:pPr>
                          <w:pStyle w:val="TableParagraph"/>
                          <w:ind w:left="59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3A3838"/>
                            <w:sz w:val="24"/>
                          </w:rPr>
                          <w:t>Delinquent minors</w:t>
                        </w:r>
                        <w:r>
                          <w:rPr>
                            <w:color w:val="3A3838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(WIC</w:t>
                        </w:r>
                        <w:r>
                          <w:rPr>
                            <w:color w:val="3A3838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§602)</w:t>
                        </w:r>
                        <w:r>
                          <w:rPr>
                            <w:color w:val="3A3838"/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3A3838"/>
                            <w:sz w:val="24"/>
                            <w:u w:val="single" w:color="3A3838"/>
                          </w:rPr>
                          <w:t>must</w:t>
                        </w:r>
                        <w:r>
                          <w:rPr>
                            <w:b/>
                            <w:color w:val="3A3838"/>
                            <w:spacing w:val="34"/>
                            <w:sz w:val="24"/>
                            <w:u w:val="single" w:color="3A3838"/>
                          </w:rPr>
                          <w:t xml:space="preserve"> </w:t>
                        </w:r>
                        <w:r>
                          <w:rPr>
                            <w:b/>
                            <w:color w:val="3A3838"/>
                            <w:sz w:val="24"/>
                            <w:u w:val="single" w:color="3A3838"/>
                          </w:rPr>
                          <w:t>not</w:t>
                        </w:r>
                        <w:r>
                          <w:rPr>
                            <w:b/>
                            <w:color w:val="3A3838"/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be held</w:t>
                        </w:r>
                        <w:r>
                          <w:rPr>
                            <w:color w:val="3A3838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in</w:t>
                        </w:r>
                        <w:r>
                          <w:rPr>
                            <w:color w:val="3A3838"/>
                            <w:spacing w:val="3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 xml:space="preserve">secure detention for more than </w:t>
                        </w:r>
                        <w:r>
                          <w:rPr>
                            <w:b/>
                            <w:color w:val="3A3838"/>
                            <w:sz w:val="24"/>
                          </w:rPr>
                          <w:t>six (6) hours.</w:t>
                        </w:r>
                      </w:p>
                      <w:p w14:paraId="6751C712" w14:textId="77777777" w:rsidR="00625D1F" w:rsidRDefault="009C0D57">
                        <w:pPr>
                          <w:pStyle w:val="TableParagraph"/>
                          <w:spacing w:before="120"/>
                          <w:ind w:left="501" w:firstLine="38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color w:val="3A3838"/>
                            <w:sz w:val="24"/>
                          </w:rPr>
                          <w:t>Note: The JJDPA requires that court holding facilities comply with the Separation and Jail Removal core requirements.</w:t>
                        </w:r>
                      </w:p>
                    </w:tc>
                  </w:tr>
                  <w:tr w:rsidR="00625D1F" w14:paraId="633C4D04" w14:textId="77777777">
                    <w:trPr>
                      <w:trHeight w:val="4694"/>
                    </w:trPr>
                    <w:tc>
                      <w:tcPr>
                        <w:tcW w:w="7198" w:type="dxa"/>
                      </w:tcPr>
                      <w:p w14:paraId="3B0A8379" w14:textId="77777777" w:rsidR="00625D1F" w:rsidRDefault="00625D1F">
                        <w:pPr>
                          <w:pStyle w:val="TableParagraph"/>
                          <w:spacing w:before="2"/>
                          <w:rPr>
                            <w:sz w:val="26"/>
                          </w:rPr>
                        </w:pPr>
                      </w:p>
                      <w:p w14:paraId="1D629665" w14:textId="77777777" w:rsidR="00625D1F" w:rsidRDefault="009C0D57">
                        <w:pPr>
                          <w:pStyle w:val="TableParagraph"/>
                          <w:spacing w:before="1"/>
                          <w:ind w:left="5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1F3863"/>
                            <w:sz w:val="24"/>
                          </w:rPr>
                          <w:t>Compliance</w:t>
                        </w:r>
                        <w:r>
                          <w:rPr>
                            <w:b/>
                            <w:color w:val="1F386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3863"/>
                            <w:sz w:val="24"/>
                          </w:rPr>
                          <w:t>Monitoring</w:t>
                        </w:r>
                        <w:r>
                          <w:rPr>
                            <w:b/>
                            <w:color w:val="1F3863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1F3863"/>
                            <w:spacing w:val="-2"/>
                            <w:sz w:val="24"/>
                          </w:rPr>
                          <w:t>Inspections</w:t>
                        </w:r>
                      </w:p>
                      <w:p w14:paraId="6A306792" w14:textId="77777777" w:rsidR="00625D1F" w:rsidRDefault="00625D1F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 w14:paraId="5E0245CC" w14:textId="77777777" w:rsidR="00625D1F" w:rsidRDefault="009C0D57">
                        <w:pPr>
                          <w:pStyle w:val="TableParagraph"/>
                          <w:ind w:left="50" w:right="221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3A3838"/>
                            <w:sz w:val="24"/>
                          </w:rPr>
                          <w:t>All</w:t>
                        </w:r>
                        <w:r>
                          <w:rPr>
                            <w:color w:val="3A3838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court</w:t>
                        </w:r>
                        <w:r>
                          <w:rPr>
                            <w:color w:val="3A3838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holding</w:t>
                        </w:r>
                        <w:r>
                          <w:rPr>
                            <w:color w:val="3A3838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facilities</w:t>
                        </w:r>
                        <w:r>
                          <w:rPr>
                            <w:color w:val="3A383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identified</w:t>
                        </w:r>
                        <w:r>
                          <w:rPr>
                            <w:color w:val="3A3838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through</w:t>
                        </w:r>
                        <w:r>
                          <w:rPr>
                            <w:color w:val="3A3838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the Annual Survey of Court Holding Facilities may be subject to onsite verification.</w:t>
                        </w:r>
                      </w:p>
                      <w:p w14:paraId="183C8352" w14:textId="77777777" w:rsidR="00625D1F" w:rsidRDefault="00625D1F"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 w14:paraId="64869CF4" w14:textId="77777777" w:rsidR="00625D1F" w:rsidRDefault="009C0D57">
                        <w:pPr>
                          <w:pStyle w:val="TableParagraph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3A3838"/>
                            <w:sz w:val="24"/>
                          </w:rPr>
                          <w:t>Court</w:t>
                        </w:r>
                        <w:r>
                          <w:rPr>
                            <w:color w:val="3A3838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holding</w:t>
                        </w:r>
                        <w:r>
                          <w:rPr>
                            <w:color w:val="3A3838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facilities</w:t>
                        </w:r>
                        <w:r>
                          <w:rPr>
                            <w:color w:val="3A3838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that</w:t>
                        </w:r>
                        <w:r>
                          <w:rPr>
                            <w:color w:val="3A3838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detain</w:t>
                        </w:r>
                        <w:r>
                          <w:rPr>
                            <w:color w:val="3A3838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or</w:t>
                        </w:r>
                        <w:r>
                          <w:rPr>
                            <w:color w:val="3A3838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pacing w:val="-2"/>
                            <w:sz w:val="24"/>
                          </w:rPr>
                          <w:t>confine</w:t>
                        </w:r>
                      </w:p>
                      <w:p w14:paraId="1B403760" w14:textId="258B44D8" w:rsidR="00625D1F" w:rsidRDefault="009C0D57">
                        <w:pPr>
                          <w:pStyle w:val="TableParagraph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3A3838"/>
                            <w:sz w:val="24"/>
                          </w:rPr>
                          <w:t>both adults and minors in secure detention will be inspected triennially,</w:t>
                        </w:r>
                        <w:r>
                          <w:rPr>
                            <w:color w:val="3A383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or</w:t>
                        </w:r>
                        <w:r>
                          <w:rPr>
                            <w:color w:val="3A3838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once</w:t>
                        </w:r>
                        <w:r>
                          <w:rPr>
                            <w:color w:val="3A3838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every</w:t>
                        </w:r>
                        <w:r>
                          <w:rPr>
                            <w:color w:val="3A3838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th</w:t>
                        </w:r>
                        <w:r w:rsidR="001C5AFE">
                          <w:rPr>
                            <w:color w:val="3A3838"/>
                            <w:sz w:val="24"/>
                          </w:rPr>
                          <w:t>re</w:t>
                        </w:r>
                        <w:r>
                          <w:rPr>
                            <w:color w:val="3A3838"/>
                            <w:sz w:val="24"/>
                          </w:rPr>
                          <w:t>e</w:t>
                        </w:r>
                        <w:r>
                          <w:rPr>
                            <w:color w:val="3A3838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years,</w:t>
                        </w:r>
                        <w:r>
                          <w:rPr>
                            <w:color w:val="3A3838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per</w:t>
                        </w:r>
                        <w:r>
                          <w:rPr>
                            <w:color w:val="3A3838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the</w:t>
                        </w:r>
                        <w:r>
                          <w:rPr>
                            <w:color w:val="3A3838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JJDPA.</w:t>
                        </w:r>
                        <w:r>
                          <w:rPr>
                            <w:color w:val="3A3838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Each</w:t>
                        </w:r>
                        <w:r>
                          <w:rPr>
                            <w:color w:val="3A3838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time</w:t>
                        </w:r>
                        <w:r>
                          <w:rPr>
                            <w:color w:val="3A3838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 xml:space="preserve">a minor is detained or confined for OVER six (6) hours, the </w:t>
                        </w:r>
                        <w:r>
                          <w:rPr>
                            <w:b/>
                            <w:i/>
                            <w:color w:val="3A3838"/>
                            <w:sz w:val="24"/>
                          </w:rPr>
                          <w:t>202</w:t>
                        </w:r>
                        <w:r w:rsidR="00AD325A">
                          <w:rPr>
                            <w:b/>
                            <w:i/>
                            <w:color w:val="3A3838"/>
                            <w:sz w:val="24"/>
                          </w:rPr>
                          <w:t>4</w:t>
                        </w:r>
                        <w:r>
                          <w:rPr>
                            <w:b/>
                            <w:i/>
                            <w:color w:val="3A3838"/>
                            <w:sz w:val="24"/>
                          </w:rPr>
                          <w:t xml:space="preserve"> Minors in Court Holding Detention Report </w:t>
                        </w:r>
                        <w:r>
                          <w:rPr>
                            <w:color w:val="3A3838"/>
                            <w:sz w:val="24"/>
                          </w:rPr>
                          <w:t>must be completed and submitted to the BSCC.</w:t>
                        </w:r>
                        <w:r>
                          <w:rPr>
                            <w:color w:val="3A3838"/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This will assist the BSCC with data collection and submission requirements.</w:t>
                        </w:r>
                      </w:p>
                      <w:p w14:paraId="09992596" w14:textId="77777777" w:rsidR="00625D1F" w:rsidRDefault="00625D1F">
                        <w:pPr>
                          <w:pStyle w:val="TableParagraph"/>
                          <w:spacing w:before="3"/>
                        </w:pPr>
                      </w:p>
                      <w:p w14:paraId="53439873" w14:textId="77777777" w:rsidR="00625D1F" w:rsidRDefault="009C0D57">
                        <w:pPr>
                          <w:pStyle w:val="TableParagraph"/>
                          <w:spacing w:before="1" w:line="270" w:lineRule="atLeas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color w:val="3A3838"/>
                            <w:sz w:val="24"/>
                          </w:rPr>
                          <w:t>All</w:t>
                        </w:r>
                        <w:r>
                          <w:rPr>
                            <w:color w:val="3A3838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court</w:t>
                        </w:r>
                        <w:r>
                          <w:rPr>
                            <w:color w:val="3A383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holding</w:t>
                        </w:r>
                        <w:r>
                          <w:rPr>
                            <w:color w:val="3A383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facilities</w:t>
                        </w:r>
                        <w:r>
                          <w:rPr>
                            <w:color w:val="3A383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will</w:t>
                        </w:r>
                        <w:r>
                          <w:rPr>
                            <w:color w:val="3A3838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remain</w:t>
                        </w:r>
                        <w:r>
                          <w:rPr>
                            <w:color w:val="3A3838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subject</w:t>
                        </w:r>
                        <w:r>
                          <w:rPr>
                            <w:color w:val="3A383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to various</w:t>
                        </w:r>
                        <w:r>
                          <w:rPr>
                            <w:color w:val="3A383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state</w:t>
                        </w:r>
                        <w:r>
                          <w:rPr>
                            <w:color w:val="3A3838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3A3838"/>
                            <w:sz w:val="24"/>
                          </w:rPr>
                          <w:t>and local inspections as required.</w:t>
                        </w:r>
                      </w:p>
                    </w:tc>
                  </w:tr>
                </w:tbl>
                <w:p w14:paraId="1B63791C" w14:textId="77777777" w:rsidR="00625D1F" w:rsidRDefault="00625D1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2"/>
        </w:rPr>
        <w:t>Questions?</w:t>
      </w:r>
    </w:p>
    <w:p w14:paraId="551EEB77" w14:textId="77777777" w:rsidR="00625D1F" w:rsidRDefault="00625D1F">
      <w:pPr>
        <w:pStyle w:val="BodyText"/>
        <w:spacing w:before="1"/>
        <w:rPr>
          <w:b/>
        </w:rPr>
      </w:pPr>
    </w:p>
    <w:p w14:paraId="1E3C29A5" w14:textId="77777777" w:rsidR="00625D1F" w:rsidRDefault="009C0D57">
      <w:pPr>
        <w:pStyle w:val="BodyText"/>
        <w:spacing w:line="360" w:lineRule="auto"/>
        <w:ind w:left="8014" w:right="272" w:hanging="1"/>
        <w:jc w:val="center"/>
      </w:pPr>
      <w:r>
        <w:t xml:space="preserve">Contact us at </w:t>
      </w:r>
      <w:hyperlink r:id="rId9">
        <w:r>
          <w:rPr>
            <w:color w:val="0000FF"/>
            <w:spacing w:val="-2"/>
            <w:u w:val="single" w:color="0000FF"/>
          </w:rPr>
          <w:t>analyst@bscc.ca.gov</w:t>
        </w:r>
      </w:hyperlink>
      <w:r>
        <w:rPr>
          <w:color w:val="0000FF"/>
          <w:spacing w:val="-2"/>
        </w:rPr>
        <w:t xml:space="preserve"> </w:t>
      </w:r>
      <w:r>
        <w:t>or (916) 323-8621</w:t>
      </w:r>
    </w:p>
    <w:p w14:paraId="05166A9F" w14:textId="77777777" w:rsidR="00625D1F" w:rsidRDefault="00625D1F">
      <w:pPr>
        <w:pStyle w:val="BodyText"/>
        <w:rPr>
          <w:sz w:val="20"/>
        </w:rPr>
      </w:pPr>
    </w:p>
    <w:p w14:paraId="48051AC5" w14:textId="77777777" w:rsidR="00625D1F" w:rsidRDefault="00625D1F">
      <w:pPr>
        <w:pStyle w:val="BodyText"/>
        <w:rPr>
          <w:sz w:val="20"/>
        </w:rPr>
      </w:pPr>
    </w:p>
    <w:p w14:paraId="06E0DC93" w14:textId="77777777" w:rsidR="00625D1F" w:rsidRDefault="00AD325A">
      <w:pPr>
        <w:pStyle w:val="BodyText"/>
        <w:spacing w:before="6"/>
        <w:rPr>
          <w:sz w:val="27"/>
        </w:rPr>
      </w:pPr>
      <w:r>
        <w:pict w14:anchorId="0A05FE89">
          <v:rect id="docshape14" o:spid="_x0000_s1026" style="position:absolute;margin-left:36pt;margin-top:17.05pt;width:2in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B7AA12E" w14:textId="77777777" w:rsidR="00625D1F" w:rsidRDefault="009C0D57">
      <w:pPr>
        <w:tabs>
          <w:tab w:val="left" w:pos="721"/>
        </w:tabs>
        <w:spacing w:before="83"/>
        <w:ind w:left="100" w:right="104"/>
        <w:rPr>
          <w:sz w:val="20"/>
        </w:rPr>
      </w:pPr>
      <w:r>
        <w:rPr>
          <w:rFonts w:ascii="Times New Roman"/>
          <w:sz w:val="20"/>
          <w:vertAlign w:val="superscript"/>
        </w:rPr>
        <w:t>1</w:t>
      </w:r>
      <w:r>
        <w:rPr>
          <w:rFonts w:ascii="Times New Roman"/>
          <w:spacing w:val="-2"/>
          <w:sz w:val="20"/>
        </w:rPr>
        <w:t xml:space="preserve"> </w:t>
      </w:r>
      <w:r>
        <w:rPr>
          <w:sz w:val="20"/>
        </w:rPr>
        <w:t>Pub.</w:t>
      </w:r>
      <w:r>
        <w:rPr>
          <w:spacing w:val="-2"/>
          <w:sz w:val="20"/>
        </w:rPr>
        <w:t xml:space="preserve"> </w:t>
      </w:r>
      <w:r>
        <w:rPr>
          <w:sz w:val="20"/>
        </w:rPr>
        <w:t>L.</w:t>
      </w:r>
      <w:r>
        <w:rPr>
          <w:spacing w:val="-4"/>
          <w:sz w:val="20"/>
        </w:rPr>
        <w:t xml:space="preserve"> </w:t>
      </w:r>
      <w:r>
        <w:rPr>
          <w:sz w:val="20"/>
        </w:rPr>
        <w:t>No.</w:t>
      </w:r>
      <w:r>
        <w:rPr>
          <w:spacing w:val="-4"/>
          <w:sz w:val="20"/>
        </w:rPr>
        <w:t xml:space="preserve"> </w:t>
      </w:r>
      <w:r>
        <w:rPr>
          <w:sz w:val="20"/>
        </w:rPr>
        <w:t>93-415</w:t>
      </w:r>
      <w:r>
        <w:rPr>
          <w:spacing w:val="-2"/>
          <w:sz w:val="20"/>
        </w:rPr>
        <w:t xml:space="preserve"> </w:t>
      </w:r>
      <w:r>
        <w:rPr>
          <w:sz w:val="20"/>
        </w:rPr>
        <w:t>(1974),</w:t>
      </w:r>
      <w:r>
        <w:rPr>
          <w:spacing w:val="-1"/>
          <w:sz w:val="20"/>
        </w:rPr>
        <w:t xml:space="preserve"> </w:t>
      </w:r>
      <w:r>
        <w:rPr>
          <w:sz w:val="20"/>
        </w:rPr>
        <w:t>34</w:t>
      </w:r>
      <w:r>
        <w:rPr>
          <w:spacing w:val="-4"/>
          <w:sz w:val="20"/>
        </w:rPr>
        <w:t xml:space="preserve"> </w:t>
      </w:r>
      <w:r>
        <w:rPr>
          <w:sz w:val="20"/>
        </w:rPr>
        <w:t>U.S.C.</w:t>
      </w:r>
      <w:r>
        <w:rPr>
          <w:spacing w:val="-2"/>
          <w:sz w:val="20"/>
        </w:rPr>
        <w:t xml:space="preserve"> </w:t>
      </w:r>
      <w:r>
        <w:rPr>
          <w:sz w:val="20"/>
        </w:rPr>
        <w:t>5601.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more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JJDPA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compliance</w:t>
      </w:r>
      <w:r>
        <w:rPr>
          <w:spacing w:val="-4"/>
          <w:sz w:val="20"/>
        </w:rPr>
        <w:t xml:space="preserve"> </w:t>
      </w:r>
      <w:r>
        <w:rPr>
          <w:sz w:val="20"/>
        </w:rPr>
        <w:t>monitoring,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please </w:t>
      </w:r>
      <w:r>
        <w:rPr>
          <w:spacing w:val="-2"/>
          <w:sz w:val="20"/>
        </w:rPr>
        <w:t>visit:</w:t>
      </w:r>
      <w:r>
        <w:rPr>
          <w:sz w:val="20"/>
        </w:rPr>
        <w:tab/>
      </w:r>
      <w:hyperlink r:id="rId10">
        <w:r>
          <w:rPr>
            <w:color w:val="0000FF"/>
            <w:spacing w:val="-2"/>
            <w:sz w:val="20"/>
            <w:u w:val="single" w:color="0000FF"/>
          </w:rPr>
          <w:t>https://www.ojjdp.gov/compliance/index.html</w:t>
        </w:r>
        <w:r>
          <w:rPr>
            <w:spacing w:val="-2"/>
            <w:sz w:val="20"/>
          </w:rPr>
          <w:t>.</w:t>
        </w:r>
      </w:hyperlink>
    </w:p>
    <w:sectPr w:rsidR="00625D1F">
      <w:type w:val="continuous"/>
      <w:pgSz w:w="12240" w:h="15840"/>
      <w:pgMar w:top="560" w:right="106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4A2E"/>
    <w:multiLevelType w:val="hybridMultilevel"/>
    <w:tmpl w:val="F9721C22"/>
    <w:lvl w:ilvl="0" w:tplc="CF62885C">
      <w:start w:val="1"/>
      <w:numFmt w:val="decimal"/>
      <w:lvlText w:val="%1."/>
      <w:lvlJc w:val="left"/>
      <w:pPr>
        <w:ind w:left="501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F3863"/>
        <w:w w:val="100"/>
        <w:sz w:val="24"/>
        <w:szCs w:val="24"/>
        <w:lang w:val="en-US" w:eastAsia="en-US" w:bidi="ar-SA"/>
      </w:rPr>
    </w:lvl>
    <w:lvl w:ilvl="1" w:tplc="A55AEA84">
      <w:numFmt w:val="bullet"/>
      <w:lvlText w:val="•"/>
      <w:lvlJc w:val="left"/>
      <w:pPr>
        <w:ind w:left="1169" w:hanging="361"/>
      </w:pPr>
      <w:rPr>
        <w:rFonts w:hint="default"/>
        <w:lang w:val="en-US" w:eastAsia="en-US" w:bidi="ar-SA"/>
      </w:rPr>
    </w:lvl>
    <w:lvl w:ilvl="2" w:tplc="5F90A414">
      <w:numFmt w:val="bullet"/>
      <w:lvlText w:val="•"/>
      <w:lvlJc w:val="left"/>
      <w:pPr>
        <w:ind w:left="1839" w:hanging="361"/>
      </w:pPr>
      <w:rPr>
        <w:rFonts w:hint="default"/>
        <w:lang w:val="en-US" w:eastAsia="en-US" w:bidi="ar-SA"/>
      </w:rPr>
    </w:lvl>
    <w:lvl w:ilvl="3" w:tplc="0C2C5B7C">
      <w:numFmt w:val="bullet"/>
      <w:lvlText w:val="•"/>
      <w:lvlJc w:val="left"/>
      <w:pPr>
        <w:ind w:left="2509" w:hanging="361"/>
      </w:pPr>
      <w:rPr>
        <w:rFonts w:hint="default"/>
        <w:lang w:val="en-US" w:eastAsia="en-US" w:bidi="ar-SA"/>
      </w:rPr>
    </w:lvl>
    <w:lvl w:ilvl="4" w:tplc="31A62A74">
      <w:numFmt w:val="bullet"/>
      <w:lvlText w:val="•"/>
      <w:lvlJc w:val="left"/>
      <w:pPr>
        <w:ind w:left="3179" w:hanging="361"/>
      </w:pPr>
      <w:rPr>
        <w:rFonts w:hint="default"/>
        <w:lang w:val="en-US" w:eastAsia="en-US" w:bidi="ar-SA"/>
      </w:rPr>
    </w:lvl>
    <w:lvl w:ilvl="5" w:tplc="ECCE4388">
      <w:numFmt w:val="bullet"/>
      <w:lvlText w:val="•"/>
      <w:lvlJc w:val="left"/>
      <w:pPr>
        <w:ind w:left="3849" w:hanging="361"/>
      </w:pPr>
      <w:rPr>
        <w:rFonts w:hint="default"/>
        <w:lang w:val="en-US" w:eastAsia="en-US" w:bidi="ar-SA"/>
      </w:rPr>
    </w:lvl>
    <w:lvl w:ilvl="6" w:tplc="4A308EB0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7" w:tplc="8C1A4782">
      <w:numFmt w:val="bullet"/>
      <w:lvlText w:val="•"/>
      <w:lvlJc w:val="left"/>
      <w:pPr>
        <w:ind w:left="5188" w:hanging="361"/>
      </w:pPr>
      <w:rPr>
        <w:rFonts w:hint="default"/>
        <w:lang w:val="en-US" w:eastAsia="en-US" w:bidi="ar-SA"/>
      </w:rPr>
    </w:lvl>
    <w:lvl w:ilvl="8" w:tplc="A0D0E99C">
      <w:numFmt w:val="bullet"/>
      <w:lvlText w:val="•"/>
      <w:lvlJc w:val="left"/>
      <w:pPr>
        <w:ind w:left="585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5D1F"/>
    <w:rsid w:val="001C5AFE"/>
    <w:rsid w:val="00625D1F"/>
    <w:rsid w:val="009C0D57"/>
    <w:rsid w:val="00AD325A"/>
    <w:rsid w:val="00B2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2161C107"/>
  <w15:docId w15:val="{29B713CC-D496-4509-B5AA-136FFE9B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464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C0D57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scc.ca.gov/s_fsoservices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ojjdp.gov/complianc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lyst@bscc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BSCC Annual Survey of Law Enforcement Facilities Form</dc:title>
  <dc:creator>Facilities Standards &amp; Operations Division</dc:creator>
  <cp:lastModifiedBy>Peerson, Tina@BSCC</cp:lastModifiedBy>
  <cp:revision>5</cp:revision>
  <dcterms:created xsi:type="dcterms:W3CDTF">2022-11-17T17:30:00Z</dcterms:created>
  <dcterms:modified xsi:type="dcterms:W3CDTF">2023-12-12T22:48:00Z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2022-11-17T00:00:00Z</vt:filetime>
  </property>
  <property fmtid="{D5CDD505-2E9C-101B-9397-08002B2CF9AE}" pid="5" name="Producer">
    <vt:lpwstr>Microsoft® Word for Microsoft 365</vt:lpwstr>
  </property>
</Properties>
</file>