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10B" w:rsidRPr="00DC3BE8" w:rsidRDefault="000A2801" w:rsidP="000A2801">
      <w:pPr>
        <w:jc w:val="center"/>
        <w:rPr>
          <w:rFonts w:ascii="Arial" w:hAnsi="Arial" w:cs="Arial"/>
          <w:b/>
          <w:sz w:val="24"/>
          <w:szCs w:val="24"/>
        </w:rPr>
      </w:pPr>
      <w:r w:rsidRPr="00DC3BE8">
        <w:rPr>
          <w:rFonts w:ascii="Arial" w:hAnsi="Arial" w:cs="Arial"/>
          <w:b/>
          <w:sz w:val="24"/>
          <w:szCs w:val="24"/>
        </w:rPr>
        <w:t>State Advisory Committee on Juvenile Justice &amp; Delinquency Prevention</w:t>
      </w:r>
    </w:p>
    <w:p w:rsidR="000A2801" w:rsidRPr="00DC3BE8" w:rsidRDefault="000A2801" w:rsidP="000A2801">
      <w:pPr>
        <w:jc w:val="center"/>
        <w:rPr>
          <w:rFonts w:ascii="Arial" w:hAnsi="Arial" w:cs="Arial"/>
          <w:b/>
          <w:sz w:val="24"/>
          <w:szCs w:val="24"/>
        </w:rPr>
      </w:pPr>
      <w:r w:rsidRPr="00DC3BE8">
        <w:rPr>
          <w:rFonts w:ascii="Arial" w:hAnsi="Arial" w:cs="Arial"/>
          <w:b/>
          <w:sz w:val="24"/>
          <w:szCs w:val="24"/>
        </w:rPr>
        <w:t>Executive Summary</w:t>
      </w:r>
    </w:p>
    <w:p w:rsidR="000A2801" w:rsidRPr="00DC3BE8" w:rsidRDefault="000A2801">
      <w:pPr>
        <w:rPr>
          <w:rFonts w:ascii="Arial" w:hAnsi="Arial" w:cs="Arial"/>
          <w:sz w:val="24"/>
          <w:szCs w:val="24"/>
        </w:rPr>
      </w:pPr>
    </w:p>
    <w:p w:rsidR="000A2801" w:rsidRPr="000A2801" w:rsidRDefault="000A2801" w:rsidP="000A2801">
      <w:pPr>
        <w:spacing w:before="240" w:after="240" w:line="312" w:lineRule="atLeast"/>
        <w:rPr>
          <w:rFonts w:ascii="Arial" w:eastAsia="Times New Roman" w:hAnsi="Arial" w:cs="Arial"/>
          <w:color w:val="222222"/>
          <w:sz w:val="24"/>
          <w:szCs w:val="24"/>
        </w:rPr>
      </w:pPr>
      <w:r w:rsidRPr="000A2801">
        <w:rPr>
          <w:rFonts w:ascii="Arial" w:eastAsia="Times New Roman" w:hAnsi="Arial" w:cs="Arial"/>
          <w:color w:val="222222"/>
          <w:sz w:val="24"/>
          <w:szCs w:val="24"/>
        </w:rPr>
        <w:t>California's SACJJDP is made up of Governor-appointed subject matter experts who are committed to enhancing the quality of life for all youth in California.</w:t>
      </w:r>
      <w:r w:rsidR="00DC3BE8" w:rsidRPr="00DC3BE8">
        <w:rPr>
          <w:rFonts w:ascii="Arial" w:eastAsia="Times New Roman" w:hAnsi="Arial" w:cs="Arial"/>
          <w:color w:val="222222"/>
          <w:sz w:val="24"/>
          <w:szCs w:val="24"/>
        </w:rPr>
        <w:t xml:space="preserve"> The </w:t>
      </w:r>
      <w:r w:rsidR="00DC3BE8">
        <w:rPr>
          <w:rFonts w:ascii="Arial" w:eastAsia="Times New Roman" w:hAnsi="Arial" w:cs="Arial"/>
          <w:color w:val="222222"/>
          <w:sz w:val="24"/>
          <w:szCs w:val="24"/>
        </w:rPr>
        <w:t xml:space="preserve">composition of the </w:t>
      </w:r>
      <w:r w:rsidR="00DC3BE8" w:rsidRPr="00DC3BE8">
        <w:rPr>
          <w:rFonts w:ascii="Arial" w:eastAsia="Times New Roman" w:hAnsi="Arial" w:cs="Arial"/>
          <w:color w:val="222222"/>
          <w:sz w:val="24"/>
          <w:szCs w:val="24"/>
        </w:rPr>
        <w:t>SACJJDP is</w:t>
      </w:r>
      <w:r w:rsidR="00DC3BE8">
        <w:rPr>
          <w:rFonts w:ascii="Arial" w:eastAsia="Times New Roman" w:hAnsi="Arial" w:cs="Arial"/>
          <w:color w:val="222222"/>
          <w:sz w:val="24"/>
          <w:szCs w:val="24"/>
        </w:rPr>
        <w:t xml:space="preserve"> mandated by the federal Juvenile Justice and Delinquency Prevention Act (JJDPA).</w:t>
      </w:r>
      <w:r w:rsidR="00DC3BE8" w:rsidRPr="00DC3BE8">
        <w:rPr>
          <w:rFonts w:ascii="Arial" w:eastAsia="Times New Roman" w:hAnsi="Arial" w:cs="Arial"/>
          <w:color w:val="222222"/>
          <w:sz w:val="24"/>
          <w:szCs w:val="24"/>
        </w:rPr>
        <w:t xml:space="preserve"> Title II provides federal funding </w:t>
      </w:r>
      <w:r w:rsidR="00DC3BE8">
        <w:rPr>
          <w:rFonts w:ascii="Arial" w:eastAsia="Times New Roman" w:hAnsi="Arial" w:cs="Arial"/>
          <w:color w:val="222222"/>
          <w:sz w:val="24"/>
          <w:szCs w:val="24"/>
        </w:rPr>
        <w:t>to support the SACJJDP and to enhance</w:t>
      </w:r>
      <w:bookmarkStart w:id="0" w:name="_GoBack"/>
      <w:bookmarkEnd w:id="0"/>
      <w:r w:rsidR="00DC3BE8" w:rsidRPr="00DC3BE8">
        <w:rPr>
          <w:rFonts w:ascii="Arial" w:eastAsia="Times New Roman" w:hAnsi="Arial" w:cs="Arial"/>
          <w:color w:val="222222"/>
          <w:sz w:val="24"/>
          <w:szCs w:val="24"/>
        </w:rPr>
        <w:t xml:space="preserve"> local juvenile justice efforts. One of the primary responsibilities of the SACJJDP is to develop a Title II State Plan that identifies priorities and goals for California’s juvenile justice activities and expenditures.</w:t>
      </w:r>
    </w:p>
    <w:p w:rsidR="000A2801" w:rsidRPr="000A2801" w:rsidRDefault="000A2801" w:rsidP="000A2801">
      <w:pPr>
        <w:spacing w:before="240" w:after="240" w:line="312" w:lineRule="atLeast"/>
        <w:rPr>
          <w:rFonts w:ascii="Arial" w:eastAsia="Times New Roman" w:hAnsi="Arial" w:cs="Arial"/>
          <w:color w:val="222222"/>
          <w:sz w:val="24"/>
          <w:szCs w:val="24"/>
        </w:rPr>
      </w:pPr>
    </w:p>
    <w:p w:rsidR="000A2801" w:rsidRPr="000A2801" w:rsidRDefault="000A2801" w:rsidP="000A2801">
      <w:pPr>
        <w:spacing w:before="240" w:after="240" w:line="312" w:lineRule="atLeast"/>
        <w:rPr>
          <w:rFonts w:ascii="Arial" w:eastAsia="Times New Roman" w:hAnsi="Arial" w:cs="Arial"/>
          <w:color w:val="222222"/>
          <w:sz w:val="24"/>
          <w:szCs w:val="24"/>
        </w:rPr>
      </w:pPr>
      <w:r w:rsidRPr="00DC3BE8">
        <w:rPr>
          <w:rFonts w:ascii="Arial" w:eastAsia="Times New Roman" w:hAnsi="Arial" w:cs="Arial"/>
          <w:b/>
          <w:bCs/>
          <w:color w:val="222222"/>
          <w:sz w:val="24"/>
          <w:szCs w:val="24"/>
        </w:rPr>
        <w:lastRenderedPageBreak/>
        <w:t>Mission</w:t>
      </w:r>
    </w:p>
    <w:p w:rsidR="000A2801" w:rsidRPr="000A2801" w:rsidRDefault="000A2801" w:rsidP="000A2801">
      <w:pPr>
        <w:spacing w:before="240" w:after="240" w:line="312" w:lineRule="atLeast"/>
        <w:rPr>
          <w:rFonts w:ascii="Arial" w:eastAsia="Times New Roman" w:hAnsi="Arial" w:cs="Arial"/>
          <w:color w:val="222222"/>
          <w:sz w:val="24"/>
          <w:szCs w:val="24"/>
        </w:rPr>
      </w:pPr>
      <w:r w:rsidRPr="000A2801">
        <w:rPr>
          <w:rFonts w:ascii="Arial" w:eastAsia="Times New Roman" w:hAnsi="Arial" w:cs="Arial"/>
          <w:color w:val="222222"/>
          <w:sz w:val="24"/>
          <w:szCs w:val="24"/>
        </w:rPr>
        <w:t>To serve the Governor, the Legislature and the people of California by promoting effective juvenile justice policies and programming in compliance with goals set forth in the Juvenile Justice and Delinquency Prevention Act.</w:t>
      </w:r>
    </w:p>
    <w:p w:rsidR="000A2801" w:rsidRPr="00DC3BE8" w:rsidRDefault="000A2801" w:rsidP="000A2801">
      <w:pPr>
        <w:spacing w:before="240" w:after="240" w:line="312" w:lineRule="atLeast"/>
        <w:rPr>
          <w:rFonts w:ascii="Arial" w:eastAsia="Times New Roman" w:hAnsi="Arial" w:cs="Arial"/>
          <w:b/>
          <w:bCs/>
          <w:color w:val="222222"/>
          <w:sz w:val="24"/>
          <w:szCs w:val="24"/>
        </w:rPr>
      </w:pPr>
      <w:r w:rsidRPr="00DC3BE8">
        <w:rPr>
          <w:rFonts w:ascii="Arial" w:eastAsia="Times New Roman" w:hAnsi="Arial" w:cs="Arial"/>
          <w:b/>
          <w:bCs/>
          <w:color w:val="222222"/>
          <w:sz w:val="24"/>
          <w:szCs w:val="24"/>
        </w:rPr>
        <w:t>Core Values</w:t>
      </w:r>
    </w:p>
    <w:p w:rsidR="000A2801" w:rsidRPr="00DC3BE8" w:rsidRDefault="00DC3BE8" w:rsidP="000A2801">
      <w:pPr>
        <w:spacing w:before="240" w:after="240" w:line="312" w:lineRule="atLeast"/>
        <w:rPr>
          <w:rFonts w:ascii="Arial" w:eastAsia="Times New Roman" w:hAnsi="Arial" w:cs="Arial"/>
          <w:color w:val="222222"/>
          <w:sz w:val="24"/>
          <w:szCs w:val="24"/>
        </w:rPr>
      </w:pPr>
      <w:r w:rsidRPr="000A2801">
        <w:rPr>
          <w:rFonts w:ascii="Arial" w:eastAsia="Times New Roman" w:hAnsi="Arial" w:cs="Arial"/>
          <w:color w:val="222222"/>
          <w:sz w:val="24"/>
          <w:szCs w:val="24"/>
        </w:rPr>
        <w:t>Strategy – a coalition of knowledgeable stakeholders and communities, current or former wards, and local elected officials</w:t>
      </w:r>
    </w:p>
    <w:p w:rsidR="00DC3BE8" w:rsidRPr="00DC3BE8" w:rsidRDefault="00DC3BE8" w:rsidP="000A2801">
      <w:pPr>
        <w:spacing w:before="240" w:after="240" w:line="312" w:lineRule="atLeast"/>
        <w:rPr>
          <w:rFonts w:ascii="Arial" w:eastAsia="Times New Roman" w:hAnsi="Arial" w:cs="Arial"/>
          <w:color w:val="222222"/>
          <w:sz w:val="24"/>
          <w:szCs w:val="24"/>
        </w:rPr>
      </w:pPr>
      <w:r w:rsidRPr="000A2801">
        <w:rPr>
          <w:rFonts w:ascii="Arial" w:eastAsia="Times New Roman" w:hAnsi="Arial" w:cs="Arial"/>
          <w:color w:val="222222"/>
          <w:sz w:val="24"/>
          <w:szCs w:val="24"/>
        </w:rPr>
        <w:t>Advocacy – a plan to prevent juvenile crime while providing treatment and rehabilitation for juvenile offenders</w:t>
      </w:r>
    </w:p>
    <w:p w:rsidR="00DC3BE8" w:rsidRPr="000A2801" w:rsidRDefault="00DC3BE8" w:rsidP="000A2801">
      <w:pPr>
        <w:spacing w:before="240" w:after="240" w:line="312" w:lineRule="atLeast"/>
        <w:rPr>
          <w:rFonts w:ascii="Arial" w:eastAsia="Times New Roman" w:hAnsi="Arial" w:cs="Arial"/>
          <w:color w:val="222222"/>
          <w:sz w:val="24"/>
          <w:szCs w:val="24"/>
        </w:rPr>
      </w:pPr>
      <w:r w:rsidRPr="000A2801">
        <w:rPr>
          <w:rFonts w:ascii="Arial" w:eastAsia="Times New Roman" w:hAnsi="Arial" w:cs="Arial"/>
          <w:color w:val="222222"/>
          <w:sz w:val="24"/>
          <w:szCs w:val="24"/>
        </w:rPr>
        <w:t>Compliance – a means of monitoring program compliance and ensuring adherence with the core protections of federal law</w:t>
      </w:r>
    </w:p>
    <w:p w:rsidR="000A2801" w:rsidRPr="00DC3BE8" w:rsidRDefault="000A2801">
      <w:pPr>
        <w:rPr>
          <w:rFonts w:ascii="Arial" w:hAnsi="Arial" w:cs="Arial"/>
          <w:sz w:val="24"/>
          <w:szCs w:val="24"/>
        </w:rPr>
      </w:pPr>
    </w:p>
    <w:sectPr w:rsidR="000A2801" w:rsidRPr="00DC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F18"/>
    <w:multiLevelType w:val="multilevel"/>
    <w:tmpl w:val="C66C9A0E"/>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Wingdings" w:hAnsi="Wingdings" w:hint="default"/>
        <w:sz w:val="20"/>
      </w:rPr>
    </w:lvl>
    <w:lvl w:ilvl="3" w:tentative="1">
      <w:start w:val="1"/>
      <w:numFmt w:val="bullet"/>
      <w:lvlText w:val=""/>
      <w:lvlJc w:val="left"/>
      <w:pPr>
        <w:tabs>
          <w:tab w:val="num" w:pos="1920"/>
        </w:tabs>
        <w:ind w:left="1920" w:hanging="360"/>
      </w:pPr>
      <w:rPr>
        <w:rFonts w:ascii="Wingdings" w:hAnsi="Wingdings" w:hint="default"/>
        <w:sz w:val="20"/>
      </w:rPr>
    </w:lvl>
    <w:lvl w:ilvl="4" w:tentative="1">
      <w:start w:val="1"/>
      <w:numFmt w:val="bullet"/>
      <w:lvlText w:val=""/>
      <w:lvlJc w:val="left"/>
      <w:pPr>
        <w:tabs>
          <w:tab w:val="num" w:pos="2640"/>
        </w:tabs>
        <w:ind w:left="2640" w:hanging="360"/>
      </w:pPr>
      <w:rPr>
        <w:rFonts w:ascii="Wingdings" w:hAnsi="Wingdings" w:hint="default"/>
        <w:sz w:val="20"/>
      </w:rPr>
    </w:lvl>
    <w:lvl w:ilvl="5" w:tentative="1">
      <w:start w:val="1"/>
      <w:numFmt w:val="bullet"/>
      <w:lvlText w:val=""/>
      <w:lvlJc w:val="left"/>
      <w:pPr>
        <w:tabs>
          <w:tab w:val="num" w:pos="3360"/>
        </w:tabs>
        <w:ind w:left="3360" w:hanging="360"/>
      </w:pPr>
      <w:rPr>
        <w:rFonts w:ascii="Wingdings" w:hAnsi="Wingdings" w:hint="default"/>
        <w:sz w:val="20"/>
      </w:rPr>
    </w:lvl>
    <w:lvl w:ilvl="6" w:tentative="1">
      <w:start w:val="1"/>
      <w:numFmt w:val="bullet"/>
      <w:lvlText w:val=""/>
      <w:lvlJc w:val="left"/>
      <w:pPr>
        <w:tabs>
          <w:tab w:val="num" w:pos="4080"/>
        </w:tabs>
        <w:ind w:left="4080" w:hanging="360"/>
      </w:pPr>
      <w:rPr>
        <w:rFonts w:ascii="Wingdings" w:hAnsi="Wingdings" w:hint="default"/>
        <w:sz w:val="20"/>
      </w:rPr>
    </w:lvl>
    <w:lvl w:ilvl="7" w:tentative="1">
      <w:start w:val="1"/>
      <w:numFmt w:val="bullet"/>
      <w:lvlText w:val=""/>
      <w:lvlJc w:val="left"/>
      <w:pPr>
        <w:tabs>
          <w:tab w:val="num" w:pos="4800"/>
        </w:tabs>
        <w:ind w:left="4800" w:hanging="360"/>
      </w:pPr>
      <w:rPr>
        <w:rFonts w:ascii="Wingdings" w:hAnsi="Wingdings" w:hint="default"/>
        <w:sz w:val="20"/>
      </w:rPr>
    </w:lvl>
    <w:lvl w:ilvl="8" w:tentative="1">
      <w:start w:val="1"/>
      <w:numFmt w:val="bullet"/>
      <w:lvlText w:val=""/>
      <w:lvlJc w:val="left"/>
      <w:pPr>
        <w:tabs>
          <w:tab w:val="num" w:pos="5520"/>
        </w:tabs>
        <w:ind w:left="55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01"/>
    <w:rsid w:val="000A2801"/>
    <w:rsid w:val="0055710B"/>
    <w:rsid w:val="00DC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330F"/>
  <w15:chartTrackingRefBased/>
  <w15:docId w15:val="{752F0156-CF8C-4F75-9619-F38CD24A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8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Bushard, Kimberly@BSCC</dc:creator>
  <cp:keywords/>
  <dc:description/>
  <cp:lastModifiedBy>Bushard, Kimberly@BSCC</cp:lastModifiedBy>
  <cp:revision>1</cp:revision>
  <dcterms:created xsi:type="dcterms:W3CDTF">2018-03-13T18:11:00Z</dcterms:created>
  <dcterms:modified xsi:type="dcterms:W3CDTF">2018-03-13T18:29:00Z</dcterms:modified>
</cp:coreProperties>
</file>