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C53F" w14:textId="73BA05BE" w:rsidR="00173362" w:rsidRPr="00694130" w:rsidRDefault="00173362" w:rsidP="00655E13">
      <w:pPr>
        <w:spacing w:after="0"/>
        <w:rPr>
          <w:rFonts w:ascii="Arial" w:hAnsi="Arial" w:cs="Arial"/>
          <w:b/>
          <w:bCs/>
          <w:smallCaps/>
          <w:color w:val="19285A"/>
          <w:sz w:val="36"/>
          <w:szCs w:val="36"/>
        </w:rPr>
      </w:pPr>
      <w:bookmarkStart w:id="0" w:name="_Hlk162345870"/>
      <w:bookmarkEnd w:id="0"/>
      <w:r w:rsidRPr="00694130">
        <w:rPr>
          <w:rFonts w:ascii="Arial" w:hAnsi="Arial" w:cs="Arial"/>
          <w:b/>
          <w:bCs/>
          <w:smallCaps/>
          <w:color w:val="19285A"/>
          <w:sz w:val="36"/>
          <w:szCs w:val="36"/>
        </w:rPr>
        <w:t>Organized Retail Theft</w:t>
      </w:r>
    </w:p>
    <w:p w14:paraId="0D71351E" w14:textId="355F2E74" w:rsidR="00173362" w:rsidRPr="00CA26E6" w:rsidRDefault="00173362" w:rsidP="00655E13">
      <w:pPr>
        <w:spacing w:after="0"/>
        <w:rPr>
          <w:rFonts w:ascii="Arial" w:hAnsi="Arial" w:cs="Arial"/>
          <w:b/>
          <w:bCs/>
          <w:smallCaps/>
          <w:color w:val="19285A"/>
          <w:sz w:val="36"/>
          <w:szCs w:val="36"/>
        </w:rPr>
      </w:pPr>
      <w:r w:rsidRPr="00CA26E6">
        <w:rPr>
          <w:rFonts w:ascii="Arial" w:hAnsi="Arial" w:cs="Arial"/>
          <w:b/>
          <w:bCs/>
          <w:smallCaps/>
          <w:color w:val="19285A"/>
          <w:sz w:val="36"/>
          <w:szCs w:val="36"/>
        </w:rPr>
        <w:t>Vertical Prosecution Grant Program</w:t>
      </w:r>
    </w:p>
    <w:p w14:paraId="3ED0B947" w14:textId="0FF50C99" w:rsidR="00655E13" w:rsidRPr="00655E13" w:rsidRDefault="00655E13" w:rsidP="00655E13">
      <w:pPr>
        <w:pBdr>
          <w:bottom w:val="single" w:sz="12" w:space="1" w:color="auto"/>
        </w:pBdr>
        <w:spacing w:after="0"/>
        <w:rPr>
          <w:rFonts w:ascii="Arial" w:hAnsi="Arial" w:cs="Arial"/>
          <w:color w:val="19285A"/>
          <w:sz w:val="36"/>
          <w:szCs w:val="36"/>
        </w:rPr>
      </w:pPr>
      <w:r w:rsidRPr="00CA26E6">
        <w:rPr>
          <w:rFonts w:ascii="Arial" w:hAnsi="Arial" w:cs="Arial"/>
          <w:color w:val="19285A"/>
          <w:sz w:val="36"/>
          <w:szCs w:val="36"/>
        </w:rPr>
        <w:t>First Quarter Status Update</w:t>
      </w:r>
      <w:r w:rsidRPr="00655E13">
        <w:rPr>
          <w:rFonts w:ascii="Arial" w:hAnsi="Arial" w:cs="Arial"/>
          <w:color w:val="19285A"/>
          <w:sz w:val="36"/>
          <w:szCs w:val="36"/>
        </w:rPr>
        <w:t xml:space="preserve"> (October to December 2023)</w:t>
      </w:r>
    </w:p>
    <w:p w14:paraId="57AB1978" w14:textId="77777777" w:rsidR="00655E13" w:rsidRDefault="00655E13" w:rsidP="00173362">
      <w:pPr>
        <w:spacing w:after="0"/>
        <w:rPr>
          <w:rFonts w:ascii="Arial" w:hAnsi="Arial" w:cs="Arial"/>
        </w:rPr>
      </w:pPr>
    </w:p>
    <w:p w14:paraId="007519A4" w14:textId="46FFD773"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About the Grant Program</w:t>
      </w:r>
    </w:p>
    <w:p w14:paraId="5DAD29E3" w14:textId="2D24EE24" w:rsidR="00173362" w:rsidRDefault="00173362" w:rsidP="009E49F8">
      <w:pPr>
        <w:spacing w:after="0" w:line="240" w:lineRule="auto"/>
        <w:jc w:val="both"/>
        <w:rPr>
          <w:rFonts w:ascii="Arial" w:hAnsi="Arial" w:cs="Arial"/>
        </w:rPr>
      </w:pPr>
      <w:r>
        <w:rPr>
          <w:rFonts w:ascii="Arial" w:hAnsi="Arial" w:cs="Arial"/>
        </w:rPr>
        <w:t>The Organized Retail Theft (ORT) Vertical Prosecution Grant Program supports district attorneys in addressing increased levels of retail theft property crimes by using a vertical prosecution model. Vertical prosecution means a prosecutor is assigned to an ORT case from beginning to end (e.g., initial hearing/arraignment to sentencing). Under this model, victims, witnesses, and law enforcement officials have a single point of contact</w:t>
      </w:r>
      <w:r w:rsidR="00DC6E95">
        <w:rPr>
          <w:rFonts w:ascii="Arial" w:hAnsi="Arial" w:cs="Arial"/>
        </w:rPr>
        <w:t xml:space="preserve">. </w:t>
      </w:r>
      <w:r w:rsidR="00694130">
        <w:rPr>
          <w:rFonts w:ascii="Arial" w:hAnsi="Arial" w:cs="Arial"/>
        </w:rPr>
        <w:t>In September 2023, a total amount of $24,868</w:t>
      </w:r>
      <w:r w:rsidR="00F33E7E">
        <w:rPr>
          <w:rFonts w:ascii="Arial" w:hAnsi="Arial" w:cs="Arial"/>
        </w:rPr>
        <w:t>,</w:t>
      </w:r>
      <w:r w:rsidR="00694130">
        <w:rPr>
          <w:rFonts w:ascii="Arial" w:hAnsi="Arial" w:cs="Arial"/>
        </w:rPr>
        <w:t xml:space="preserve">293 in grant funds was awarded to 13 District Attorney’s Offices. The grant service period began on October 1, 2023. Detailed information about the grantees and their funding is available on the </w:t>
      </w:r>
      <w:hyperlink r:id="rId8" w:history="1">
        <w:r w:rsidR="00694130" w:rsidRPr="00694130">
          <w:rPr>
            <w:rStyle w:val="Hyperlink"/>
            <w:rFonts w:ascii="Arial" w:hAnsi="Arial" w:cs="Arial"/>
          </w:rPr>
          <w:t>grant webpage</w:t>
        </w:r>
      </w:hyperlink>
      <w:r w:rsidR="00694130">
        <w:rPr>
          <w:rFonts w:ascii="Arial" w:hAnsi="Arial" w:cs="Arial"/>
        </w:rPr>
        <w:t>.</w:t>
      </w:r>
      <w:r w:rsidR="00694130">
        <w:rPr>
          <w:rStyle w:val="FootnoteReference"/>
          <w:rFonts w:ascii="Arial" w:hAnsi="Arial" w:cs="Arial"/>
        </w:rPr>
        <w:footnoteReference w:id="1"/>
      </w:r>
    </w:p>
    <w:p w14:paraId="4E76FC4C" w14:textId="77777777" w:rsidR="00655E13" w:rsidRDefault="00655E13" w:rsidP="009E49F8">
      <w:pPr>
        <w:spacing w:after="0" w:line="240" w:lineRule="auto"/>
        <w:rPr>
          <w:rFonts w:ascii="Arial" w:hAnsi="Arial" w:cs="Arial"/>
        </w:rPr>
      </w:pPr>
    </w:p>
    <w:p w14:paraId="4466D5DE" w14:textId="5103671D" w:rsidR="00655E13" w:rsidRPr="00475A97" w:rsidRDefault="00655E13" w:rsidP="009E49F8">
      <w:pPr>
        <w:spacing w:after="0" w:line="240" w:lineRule="auto"/>
        <w:jc w:val="both"/>
        <w:rPr>
          <w:rFonts w:ascii="Arial" w:hAnsi="Arial" w:cs="Arial"/>
        </w:rPr>
      </w:pPr>
      <w:r>
        <w:rPr>
          <w:rFonts w:ascii="Arial" w:hAnsi="Arial" w:cs="Arial"/>
        </w:rPr>
        <w:t xml:space="preserve">In March 2023, grantees submitted their first Quarterly Progress Report to the BSCC reporting on grant activities that occurred between October 1, </w:t>
      </w:r>
      <w:proofErr w:type="gramStart"/>
      <w:r>
        <w:rPr>
          <w:rFonts w:ascii="Arial" w:hAnsi="Arial" w:cs="Arial"/>
        </w:rPr>
        <w:t>2023</w:t>
      </w:r>
      <w:proofErr w:type="gramEnd"/>
      <w:r>
        <w:rPr>
          <w:rFonts w:ascii="Arial" w:hAnsi="Arial" w:cs="Arial"/>
        </w:rPr>
        <w:t xml:space="preserve"> and December 31, 2023. This document summarizes the progress report information submitted </w:t>
      </w:r>
      <w:r w:rsidR="00E1317B">
        <w:rPr>
          <w:rFonts w:ascii="Arial" w:hAnsi="Arial" w:cs="Arial"/>
        </w:rPr>
        <w:t xml:space="preserve">by </w:t>
      </w:r>
      <w:r w:rsidR="00DC6E95">
        <w:rPr>
          <w:rFonts w:ascii="Arial" w:hAnsi="Arial" w:cs="Arial"/>
        </w:rPr>
        <w:t xml:space="preserve">all </w:t>
      </w:r>
      <w:r>
        <w:rPr>
          <w:rFonts w:ascii="Arial" w:hAnsi="Arial" w:cs="Arial"/>
        </w:rPr>
        <w:t xml:space="preserve">13 grantees. </w:t>
      </w:r>
    </w:p>
    <w:p w14:paraId="2CA8FF6F" w14:textId="4A157ABF" w:rsidR="00173362" w:rsidRDefault="00173362" w:rsidP="00173362">
      <w:pPr>
        <w:spacing w:after="0"/>
        <w:rPr>
          <w:rFonts w:ascii="Arial" w:hAnsi="Arial" w:cs="Arial"/>
        </w:rPr>
      </w:pPr>
    </w:p>
    <w:p w14:paraId="0FF47BAB" w14:textId="77777777" w:rsidR="001A15F6" w:rsidRPr="00CA26E6" w:rsidRDefault="001A15F6" w:rsidP="00535989">
      <w:pPr>
        <w:spacing w:after="0"/>
        <w:jc w:val="both"/>
        <w:rPr>
          <w:rFonts w:ascii="Arial" w:hAnsi="Arial" w:cs="Arial"/>
          <w:b/>
          <w:bCs/>
          <w:color w:val="19285A"/>
        </w:rPr>
      </w:pPr>
      <w:r w:rsidRPr="00CA26E6">
        <w:rPr>
          <w:rFonts w:ascii="Arial" w:hAnsi="Arial" w:cs="Arial"/>
          <w:b/>
          <w:bCs/>
          <w:color w:val="19285A"/>
        </w:rPr>
        <w:t xml:space="preserve">Project Implementation </w:t>
      </w:r>
    </w:p>
    <w:p w14:paraId="73BB0771" w14:textId="7512A5EE" w:rsidR="00A01009" w:rsidRDefault="00A01009" w:rsidP="009E49F8">
      <w:pPr>
        <w:spacing w:after="0" w:line="240" w:lineRule="auto"/>
        <w:jc w:val="both"/>
        <w:rPr>
          <w:rFonts w:ascii="Arial" w:hAnsi="Arial" w:cs="Arial"/>
        </w:rPr>
      </w:pPr>
      <w:r>
        <w:rPr>
          <w:rFonts w:ascii="Arial" w:hAnsi="Arial" w:cs="Arial"/>
        </w:rPr>
        <w:t>During the first few months of a grant service period grantees are generally focused on project implementation activities necessary for an effective project start. The figure below summarizes the grantees status updates for f</w:t>
      </w:r>
      <w:r w:rsidR="00CA29BB">
        <w:rPr>
          <w:rFonts w:ascii="Arial" w:hAnsi="Arial" w:cs="Arial"/>
        </w:rPr>
        <w:t>our</w:t>
      </w:r>
      <w:r>
        <w:rPr>
          <w:rFonts w:ascii="Arial" w:hAnsi="Arial" w:cs="Arial"/>
        </w:rPr>
        <w:t xml:space="preserve"> (</w:t>
      </w:r>
      <w:r w:rsidR="00CA29BB">
        <w:rPr>
          <w:rFonts w:ascii="Arial" w:hAnsi="Arial" w:cs="Arial"/>
        </w:rPr>
        <w:t>4</w:t>
      </w:r>
      <w:r>
        <w:rPr>
          <w:rFonts w:ascii="Arial" w:hAnsi="Arial" w:cs="Arial"/>
        </w:rPr>
        <w:t xml:space="preserve">) project implementation activities. </w:t>
      </w:r>
    </w:p>
    <w:p w14:paraId="1EE119FD" w14:textId="77777777" w:rsidR="000B719C" w:rsidRDefault="000B719C" w:rsidP="00A01009">
      <w:pPr>
        <w:spacing w:after="0"/>
        <w:jc w:val="both"/>
        <w:rPr>
          <w:rFonts w:ascii="Arial" w:hAnsi="Arial" w:cs="Arial"/>
        </w:rPr>
      </w:pPr>
    </w:p>
    <w:p w14:paraId="31726DD4" w14:textId="118A9F75" w:rsidR="00694130" w:rsidRDefault="001262CD" w:rsidP="00173362">
      <w:pPr>
        <w:spacing w:after="0"/>
        <w:rPr>
          <w:rFonts w:ascii="Arial" w:hAnsi="Arial" w:cs="Arial"/>
        </w:rPr>
      </w:pPr>
      <w:r>
        <w:rPr>
          <w:noProof/>
        </w:rPr>
        <w:drawing>
          <wp:inline distT="0" distB="0" distL="0" distR="0" wp14:anchorId="0E140C2C" wp14:editId="550BB03B">
            <wp:extent cx="6585030" cy="989188"/>
            <wp:effectExtent l="0" t="0" r="0" b="1905"/>
            <wp:docPr id="171236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6056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585030" cy="989188"/>
                    </a:xfrm>
                    <a:prstGeom prst="rect">
                      <a:avLst/>
                    </a:prstGeom>
                  </pic:spPr>
                </pic:pic>
              </a:graphicData>
            </a:graphic>
          </wp:inline>
        </w:drawing>
      </w:r>
    </w:p>
    <w:p w14:paraId="248587D3" w14:textId="77777777" w:rsidR="001262CD" w:rsidRPr="00F74AE0" w:rsidRDefault="001262CD" w:rsidP="001262CD">
      <w:pPr>
        <w:pStyle w:val="Caption"/>
        <w:jc w:val="both"/>
        <w:rPr>
          <w:rFonts w:ascii="Arial" w:hAnsi="Arial" w:cs="Arial"/>
          <w:color w:val="0F4761" w:themeColor="accent1" w:themeShade="BF"/>
          <w:sz w:val="20"/>
          <w:szCs w:val="20"/>
        </w:rPr>
      </w:pPr>
      <w:r w:rsidRPr="00F74AE0">
        <w:rPr>
          <w:rFonts w:ascii="Arial" w:hAnsi="Arial" w:cs="Arial"/>
          <w:color w:val="0F4761" w:themeColor="accent1" w:themeShade="BF"/>
          <w:sz w:val="20"/>
          <w:szCs w:val="20"/>
        </w:rPr>
        <w:t xml:space="preserve">Figure </w:t>
      </w:r>
      <w:r w:rsidRPr="00F74AE0">
        <w:rPr>
          <w:rFonts w:ascii="Arial" w:hAnsi="Arial" w:cs="Arial"/>
          <w:color w:val="0F4761" w:themeColor="accent1" w:themeShade="BF"/>
          <w:sz w:val="20"/>
          <w:szCs w:val="20"/>
        </w:rPr>
        <w:fldChar w:fldCharType="begin"/>
      </w:r>
      <w:r w:rsidRPr="00F74AE0">
        <w:rPr>
          <w:rFonts w:ascii="Arial" w:hAnsi="Arial" w:cs="Arial"/>
          <w:color w:val="0F4761" w:themeColor="accent1" w:themeShade="BF"/>
          <w:sz w:val="20"/>
          <w:szCs w:val="20"/>
        </w:rPr>
        <w:instrText xml:space="preserve"> SEQ Figure \* ARABIC </w:instrText>
      </w:r>
      <w:r w:rsidRPr="00F74AE0">
        <w:rPr>
          <w:rFonts w:ascii="Arial" w:hAnsi="Arial" w:cs="Arial"/>
          <w:color w:val="0F4761" w:themeColor="accent1" w:themeShade="BF"/>
          <w:sz w:val="20"/>
          <w:szCs w:val="20"/>
        </w:rPr>
        <w:fldChar w:fldCharType="separate"/>
      </w:r>
      <w:r w:rsidRPr="00F74AE0">
        <w:rPr>
          <w:rFonts w:ascii="Arial" w:hAnsi="Arial" w:cs="Arial"/>
          <w:noProof/>
          <w:color w:val="0F4761" w:themeColor="accent1" w:themeShade="BF"/>
          <w:sz w:val="20"/>
          <w:szCs w:val="20"/>
        </w:rPr>
        <w:t>1</w:t>
      </w:r>
      <w:r w:rsidRPr="00F74AE0">
        <w:rPr>
          <w:rFonts w:ascii="Arial" w:hAnsi="Arial" w:cs="Arial"/>
          <w:color w:val="0F4761" w:themeColor="accent1" w:themeShade="BF"/>
          <w:sz w:val="20"/>
          <w:szCs w:val="20"/>
        </w:rPr>
        <w:fldChar w:fldCharType="end"/>
      </w:r>
      <w:r w:rsidRPr="00F74AE0">
        <w:rPr>
          <w:rFonts w:ascii="Arial" w:hAnsi="Arial" w:cs="Arial"/>
          <w:color w:val="0F4761" w:themeColor="accent1" w:themeShade="BF"/>
          <w:sz w:val="20"/>
          <w:szCs w:val="20"/>
        </w:rPr>
        <w:t>. Project implementation status.</w:t>
      </w:r>
    </w:p>
    <w:p w14:paraId="5538C447" w14:textId="25F13AB0"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Partnerships: Developing formal relationships with entities to support project goals. </w:t>
      </w:r>
    </w:p>
    <w:p w14:paraId="7CDA5E94" w14:textId="140D94F3" w:rsidR="004304F5" w:rsidRPr="000B719C" w:rsidRDefault="004304F5" w:rsidP="00C478D9">
      <w:pPr>
        <w:pStyle w:val="BodyText"/>
        <w:numPr>
          <w:ilvl w:val="0"/>
          <w:numId w:val="4"/>
        </w:numPr>
        <w:tabs>
          <w:tab w:val="left" w:pos="360"/>
          <w:tab w:val="left" w:pos="72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77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10) have started </w:t>
      </w:r>
      <w:r w:rsidR="00DC6E95">
        <w:rPr>
          <w:rFonts w:eastAsiaTheme="minorHAnsi"/>
          <w:kern w:val="2"/>
          <w:szCs w:val="24"/>
          <w14:ligatures w14:val="standardContextual"/>
        </w:rPr>
        <w:t>developing</w:t>
      </w:r>
      <w:r w:rsidRPr="000B719C">
        <w:rPr>
          <w:rFonts w:eastAsiaTheme="minorHAnsi"/>
          <w:kern w:val="2"/>
          <w:szCs w:val="24"/>
          <w14:ligatures w14:val="standardContextual"/>
        </w:rPr>
        <w:t xml:space="preserve"> partnerships </w:t>
      </w:r>
      <w:r w:rsidR="00336273">
        <w:rPr>
          <w:rFonts w:eastAsiaTheme="minorHAnsi"/>
          <w:kern w:val="2"/>
          <w:szCs w:val="24"/>
          <w14:ligatures w14:val="standardContextual"/>
        </w:rPr>
        <w:t xml:space="preserve">to </w:t>
      </w:r>
      <w:r w:rsidR="00DC6E95">
        <w:rPr>
          <w:rFonts w:eastAsiaTheme="minorHAnsi"/>
          <w:kern w:val="2"/>
          <w:szCs w:val="24"/>
          <w14:ligatures w14:val="standardContextual"/>
        </w:rPr>
        <w:t>support</w:t>
      </w:r>
      <w:r w:rsidRPr="000B719C">
        <w:rPr>
          <w:rFonts w:eastAsiaTheme="minorHAnsi"/>
          <w:kern w:val="2"/>
          <w:szCs w:val="24"/>
          <w14:ligatures w14:val="standardContextual"/>
        </w:rPr>
        <w:t xml:space="preserve"> their project</w:t>
      </w:r>
      <w:r w:rsidR="00DC6E95">
        <w:rPr>
          <w:rFonts w:eastAsiaTheme="minorHAnsi"/>
          <w:kern w:val="2"/>
          <w:szCs w:val="24"/>
          <w14:ligatures w14:val="standardContextual"/>
        </w:rPr>
        <w:t>’s goals</w:t>
      </w:r>
      <w:r w:rsidRPr="000B719C">
        <w:rPr>
          <w:rFonts w:eastAsiaTheme="minorHAnsi"/>
          <w:kern w:val="2"/>
          <w:szCs w:val="24"/>
          <w14:ligatures w14:val="standardContextual"/>
        </w:rPr>
        <w:t>.</w:t>
      </w:r>
    </w:p>
    <w:p w14:paraId="2005777E" w14:textId="1DB6D90D" w:rsidR="004304F5" w:rsidRPr="000B719C" w:rsidRDefault="00655E13" w:rsidP="00C478D9">
      <w:pPr>
        <w:pStyle w:val="BodyText"/>
        <w:numPr>
          <w:ilvl w:val="1"/>
          <w:numId w:val="4"/>
        </w:numPr>
        <w:tabs>
          <w:tab w:val="left" w:pos="360"/>
          <w:tab w:val="left" w:pos="72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Grantees</w:t>
      </w:r>
      <w:r w:rsidRPr="000B719C">
        <w:rPr>
          <w:rFonts w:eastAsiaTheme="minorHAnsi"/>
          <w:kern w:val="2"/>
          <w:szCs w:val="24"/>
          <w14:ligatures w14:val="standardContextual"/>
        </w:rPr>
        <w:t xml:space="preserve"> </w:t>
      </w:r>
      <w:r w:rsidR="004304F5" w:rsidRPr="000B719C">
        <w:rPr>
          <w:rFonts w:eastAsiaTheme="minorHAnsi"/>
          <w:kern w:val="2"/>
          <w:szCs w:val="24"/>
          <w14:ligatures w14:val="standardContextual"/>
        </w:rPr>
        <w:t>have established relationships with</w:t>
      </w:r>
      <w:r w:rsidR="00DC6E95">
        <w:rPr>
          <w:rFonts w:eastAsiaTheme="minorHAnsi"/>
          <w:kern w:val="2"/>
          <w:szCs w:val="24"/>
          <w14:ligatures w14:val="standardContextual"/>
        </w:rPr>
        <w:t xml:space="preserve"> retailers (e.g., </w:t>
      </w:r>
      <w:r w:rsidR="004304F5" w:rsidRPr="000B719C">
        <w:rPr>
          <w:rFonts w:eastAsiaTheme="minorHAnsi"/>
          <w:kern w:val="2"/>
          <w:szCs w:val="24"/>
          <w14:ligatures w14:val="standardContextual"/>
        </w:rPr>
        <w:t>department, cosmetic</w:t>
      </w:r>
      <w:r w:rsidR="00DC6E95">
        <w:rPr>
          <w:rFonts w:eastAsiaTheme="minorHAnsi"/>
          <w:kern w:val="2"/>
          <w:szCs w:val="24"/>
          <w14:ligatures w14:val="standardContextual"/>
        </w:rPr>
        <w:t xml:space="preserve">, </w:t>
      </w:r>
      <w:r w:rsidR="004304F5" w:rsidRPr="000B719C">
        <w:rPr>
          <w:rFonts w:eastAsiaTheme="minorHAnsi"/>
          <w:kern w:val="2"/>
          <w:szCs w:val="24"/>
          <w14:ligatures w14:val="standardContextual"/>
        </w:rPr>
        <w:t>and convenience store</w:t>
      </w:r>
      <w:r w:rsidR="00DC6E95">
        <w:rPr>
          <w:rFonts w:eastAsiaTheme="minorHAnsi"/>
          <w:kern w:val="2"/>
          <w:szCs w:val="24"/>
          <w14:ligatures w14:val="standardContextual"/>
        </w:rPr>
        <w:t>s)</w:t>
      </w:r>
      <w:r w:rsidR="004304F5" w:rsidRPr="000B719C">
        <w:rPr>
          <w:rFonts w:eastAsiaTheme="minorHAnsi"/>
          <w:kern w:val="2"/>
          <w:szCs w:val="24"/>
          <w14:ligatures w14:val="standardContextual"/>
        </w:rPr>
        <w:t xml:space="preserve">, neighboring county District Attorney’s </w:t>
      </w:r>
      <w:r w:rsidR="00DC6E95">
        <w:rPr>
          <w:rFonts w:eastAsiaTheme="minorHAnsi"/>
          <w:kern w:val="2"/>
          <w:szCs w:val="24"/>
          <w14:ligatures w14:val="standardContextual"/>
        </w:rPr>
        <w:t>O</w:t>
      </w:r>
      <w:r w:rsidR="004304F5" w:rsidRPr="000B719C">
        <w:rPr>
          <w:rFonts w:eastAsiaTheme="minorHAnsi"/>
          <w:kern w:val="2"/>
          <w:szCs w:val="24"/>
          <w14:ligatures w14:val="standardContextual"/>
        </w:rPr>
        <w:t>ffices</w:t>
      </w:r>
      <w:r w:rsidR="00DC6E95">
        <w:rPr>
          <w:rFonts w:eastAsiaTheme="minorHAnsi"/>
          <w:kern w:val="2"/>
          <w:szCs w:val="24"/>
          <w14:ligatures w14:val="standardContextual"/>
        </w:rPr>
        <w:t>,</w:t>
      </w:r>
      <w:r w:rsidR="004304F5" w:rsidRPr="000B719C">
        <w:rPr>
          <w:rFonts w:eastAsiaTheme="minorHAnsi"/>
          <w:kern w:val="2"/>
          <w:szCs w:val="24"/>
          <w14:ligatures w14:val="standardContextual"/>
        </w:rPr>
        <w:t xml:space="preserve"> and local law enforcement agencies to aid </w:t>
      </w:r>
      <w:r>
        <w:rPr>
          <w:rFonts w:eastAsiaTheme="minorHAnsi"/>
          <w:kern w:val="2"/>
          <w:szCs w:val="24"/>
          <w14:ligatures w14:val="standardContextual"/>
        </w:rPr>
        <w:t xml:space="preserve">with </w:t>
      </w:r>
      <w:r w:rsidR="004304F5" w:rsidRPr="000B719C">
        <w:rPr>
          <w:rFonts w:eastAsiaTheme="minorHAnsi"/>
          <w:kern w:val="2"/>
          <w:szCs w:val="24"/>
          <w14:ligatures w14:val="standardContextual"/>
        </w:rPr>
        <w:t>identifying ORT cases, collect</w:t>
      </w:r>
      <w:r>
        <w:rPr>
          <w:rFonts w:eastAsiaTheme="minorHAnsi"/>
          <w:kern w:val="2"/>
          <w:szCs w:val="24"/>
          <w14:ligatures w14:val="standardContextual"/>
        </w:rPr>
        <w:t>ing</w:t>
      </w:r>
      <w:r w:rsidR="004304F5" w:rsidRPr="000B719C">
        <w:rPr>
          <w:rFonts w:eastAsiaTheme="minorHAnsi"/>
          <w:kern w:val="2"/>
          <w:szCs w:val="24"/>
          <w14:ligatures w14:val="standardContextual"/>
        </w:rPr>
        <w:t xml:space="preserve"> evidence</w:t>
      </w:r>
      <w:r w:rsidR="00336273">
        <w:rPr>
          <w:rFonts w:eastAsiaTheme="minorHAnsi"/>
          <w:kern w:val="2"/>
          <w:szCs w:val="24"/>
          <w14:ligatures w14:val="standardContextual"/>
        </w:rPr>
        <w:t>,</w:t>
      </w:r>
      <w:r w:rsidR="004304F5" w:rsidRPr="000B719C">
        <w:rPr>
          <w:rFonts w:eastAsiaTheme="minorHAnsi"/>
          <w:kern w:val="2"/>
          <w:szCs w:val="24"/>
          <w14:ligatures w14:val="standardContextual"/>
        </w:rPr>
        <w:t xml:space="preserve"> and fil</w:t>
      </w:r>
      <w:r>
        <w:rPr>
          <w:rFonts w:eastAsiaTheme="minorHAnsi"/>
          <w:kern w:val="2"/>
          <w:szCs w:val="24"/>
          <w14:ligatures w14:val="standardContextual"/>
        </w:rPr>
        <w:t>ing</w:t>
      </w:r>
      <w:r w:rsidR="004304F5" w:rsidRPr="000B719C">
        <w:rPr>
          <w:rFonts w:eastAsiaTheme="minorHAnsi"/>
          <w:kern w:val="2"/>
          <w:szCs w:val="24"/>
          <w14:ligatures w14:val="standardContextual"/>
        </w:rPr>
        <w:t xml:space="preserve"> cases. </w:t>
      </w:r>
    </w:p>
    <w:p w14:paraId="5B8E1A8E" w14:textId="5F62D6CF" w:rsidR="004304F5" w:rsidRPr="000B719C" w:rsidRDefault="004304F5" w:rsidP="00C478D9">
      <w:pPr>
        <w:pStyle w:val="BodyText"/>
        <w:widowControl/>
        <w:numPr>
          <w:ilvl w:val="1"/>
          <w:numId w:val="4"/>
        </w:numPr>
        <w:tabs>
          <w:tab w:val="left" w:pos="360"/>
          <w:tab w:val="left" w:pos="720"/>
        </w:tabs>
        <w:spacing w:before="1"/>
        <w:ind w:left="1440" w:right="29"/>
        <w:jc w:val="both"/>
        <w:rPr>
          <w:rFonts w:eastAsiaTheme="minorHAnsi"/>
          <w:i/>
          <w:iCs/>
          <w:kern w:val="2"/>
          <w:szCs w:val="24"/>
          <w14:ligatures w14:val="standardContextual"/>
        </w:rPr>
      </w:pPr>
      <w:r w:rsidRPr="000B719C">
        <w:rPr>
          <w:rFonts w:eastAsiaTheme="minorHAnsi"/>
          <w:kern w:val="2"/>
          <w:szCs w:val="24"/>
          <w14:ligatures w14:val="standardContextual"/>
        </w:rPr>
        <w:t xml:space="preserve">Regular meetings are held with partners to provide a platform to discuss ORT trends, store systems, and </w:t>
      </w:r>
      <w:r w:rsidR="00336273">
        <w:rPr>
          <w:rFonts w:eastAsiaTheme="minorHAnsi"/>
          <w:kern w:val="2"/>
          <w:szCs w:val="24"/>
          <w14:ligatures w14:val="standardContextual"/>
        </w:rPr>
        <w:t xml:space="preserve">share </w:t>
      </w:r>
      <w:r w:rsidRPr="000B719C">
        <w:rPr>
          <w:rFonts w:eastAsiaTheme="minorHAnsi"/>
          <w:kern w:val="2"/>
          <w:szCs w:val="24"/>
          <w14:ligatures w14:val="standardContextual"/>
        </w:rPr>
        <w:t>information.</w:t>
      </w:r>
    </w:p>
    <w:p w14:paraId="4C1757E6" w14:textId="01F2EAF6" w:rsidR="000735BA" w:rsidRPr="009E49F8" w:rsidRDefault="0012734B" w:rsidP="00C478D9">
      <w:pPr>
        <w:pStyle w:val="BodyText"/>
        <w:numPr>
          <w:ilvl w:val="0"/>
          <w:numId w:val="4"/>
        </w:numPr>
        <w:tabs>
          <w:tab w:val="left" w:pos="360"/>
          <w:tab w:val="left" w:pos="72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15</w:t>
      </w:r>
      <w:r w:rsidRPr="000B719C">
        <w:rPr>
          <w:rFonts w:eastAsiaTheme="minorHAnsi"/>
          <w:kern w:val="2"/>
          <w:szCs w:val="24"/>
          <w14:ligatures w14:val="standardContextual"/>
        </w:rPr>
        <w:t xml:space="preserve"> </w:t>
      </w:r>
      <w:r w:rsidR="004304F5" w:rsidRPr="000B719C">
        <w:rPr>
          <w:rFonts w:eastAsiaTheme="minorHAnsi"/>
          <w:kern w:val="2"/>
          <w:szCs w:val="24"/>
          <w14:ligatures w14:val="standardContextual"/>
        </w:rPr>
        <w:t>percent of grantees (</w:t>
      </w:r>
      <w:r w:rsidR="004304F5" w:rsidRPr="000B719C">
        <w:rPr>
          <w:rFonts w:eastAsiaTheme="minorHAnsi"/>
          <w:i/>
          <w:iCs/>
          <w:kern w:val="2"/>
          <w:szCs w:val="24"/>
          <w14:ligatures w14:val="standardContextual"/>
        </w:rPr>
        <w:t xml:space="preserve">n </w:t>
      </w:r>
      <w:r w:rsidR="004304F5" w:rsidRPr="000B719C">
        <w:rPr>
          <w:rFonts w:eastAsiaTheme="minorHAnsi"/>
          <w:kern w:val="2"/>
          <w:szCs w:val="24"/>
          <w14:ligatures w14:val="standardContextual"/>
        </w:rPr>
        <w:t xml:space="preserve">= </w:t>
      </w:r>
      <w:r>
        <w:rPr>
          <w:rFonts w:eastAsiaTheme="minorHAnsi"/>
          <w:kern w:val="2"/>
          <w:szCs w:val="24"/>
          <w14:ligatures w14:val="standardContextual"/>
        </w:rPr>
        <w:t>2</w:t>
      </w:r>
      <w:r w:rsidR="004304F5" w:rsidRPr="000B719C">
        <w:rPr>
          <w:rFonts w:eastAsiaTheme="minorHAnsi"/>
          <w:kern w:val="2"/>
          <w:szCs w:val="24"/>
          <w14:ligatures w14:val="standardContextual"/>
        </w:rPr>
        <w:t xml:space="preserve">) </w:t>
      </w:r>
      <w:r w:rsidR="00084425">
        <w:rPr>
          <w:rFonts w:eastAsiaTheme="minorHAnsi"/>
          <w:kern w:val="2"/>
          <w:szCs w:val="24"/>
          <w14:ligatures w14:val="standardContextual"/>
        </w:rPr>
        <w:t>have yet to begin</w:t>
      </w:r>
      <w:r w:rsidR="004304F5" w:rsidRPr="000B719C">
        <w:rPr>
          <w:rFonts w:eastAsiaTheme="minorHAnsi"/>
          <w:kern w:val="2"/>
          <w:szCs w:val="24"/>
          <w14:ligatures w14:val="standardContextual"/>
        </w:rPr>
        <w:t xml:space="preserve"> establishing partnerships as staff </w:t>
      </w:r>
      <w:r w:rsidR="00084425">
        <w:rPr>
          <w:rFonts w:eastAsiaTheme="minorHAnsi"/>
          <w:kern w:val="2"/>
          <w:szCs w:val="24"/>
          <w14:ligatures w14:val="standardContextual"/>
        </w:rPr>
        <w:t>are still being hired.</w:t>
      </w:r>
    </w:p>
    <w:p w14:paraId="759D8E41" w14:textId="77FE3C79" w:rsidR="004304F5" w:rsidRPr="007076C8" w:rsidRDefault="000735BA" w:rsidP="00C478D9">
      <w:pPr>
        <w:pStyle w:val="BodyText"/>
        <w:numPr>
          <w:ilvl w:val="0"/>
          <w:numId w:val="4"/>
        </w:numPr>
        <w:tabs>
          <w:tab w:val="left" w:pos="360"/>
          <w:tab w:val="left" w:pos="720"/>
        </w:tabs>
        <w:spacing w:before="1"/>
        <w:ind w:left="720" w:right="30"/>
        <w:jc w:val="both"/>
        <w:rPr>
          <w:rFonts w:eastAsiaTheme="minorHAnsi"/>
          <w:i/>
          <w:iCs/>
          <w:color w:val="0F4761" w:themeColor="accent1" w:themeShade="BF"/>
          <w:kern w:val="2"/>
          <w:szCs w:val="24"/>
          <w14:ligatures w14:val="standardContextual"/>
        </w:rPr>
      </w:pPr>
      <w:r>
        <w:rPr>
          <w:rFonts w:eastAsiaTheme="minorHAnsi"/>
          <w:kern w:val="2"/>
          <w:szCs w:val="24"/>
          <w14:ligatures w14:val="standardContextual"/>
        </w:rPr>
        <w:t>8 percent of grantees (</w:t>
      </w:r>
      <w:r>
        <w:rPr>
          <w:rFonts w:eastAsiaTheme="minorHAnsi"/>
          <w:i/>
          <w:iCs/>
          <w:kern w:val="2"/>
          <w:szCs w:val="24"/>
          <w14:ligatures w14:val="standardContextual"/>
        </w:rPr>
        <w:t xml:space="preserve">n </w:t>
      </w:r>
      <w:r>
        <w:rPr>
          <w:rFonts w:eastAsiaTheme="minorHAnsi"/>
          <w:kern w:val="2"/>
          <w:szCs w:val="24"/>
          <w14:ligatures w14:val="standardContextual"/>
        </w:rPr>
        <w:t xml:space="preserve">= 1) </w:t>
      </w:r>
      <w:r w:rsidR="00327692">
        <w:rPr>
          <w:rFonts w:eastAsiaTheme="minorHAnsi"/>
          <w:kern w:val="2"/>
          <w:szCs w:val="24"/>
          <w14:ligatures w14:val="standardContextual"/>
        </w:rPr>
        <w:t xml:space="preserve">have established collaborative partnerships with major retailers and other stakeholders to target fencing operations. </w:t>
      </w:r>
    </w:p>
    <w:p w14:paraId="219260F2" w14:textId="77777777" w:rsidR="00327692" w:rsidRDefault="00327692" w:rsidP="00173362">
      <w:pPr>
        <w:spacing w:after="0"/>
        <w:rPr>
          <w:rFonts w:ascii="Arial" w:hAnsi="Arial" w:cs="Arial"/>
          <w:i/>
          <w:iCs/>
          <w:color w:val="19285A"/>
        </w:rPr>
      </w:pPr>
    </w:p>
    <w:p w14:paraId="6FE5A7D2" w14:textId="360CBBEE" w:rsidR="00CA29BB" w:rsidRPr="001A15F6" w:rsidRDefault="00CA29BB" w:rsidP="00173362">
      <w:pPr>
        <w:spacing w:after="0"/>
        <w:rPr>
          <w:rFonts w:ascii="Arial" w:hAnsi="Arial" w:cs="Arial"/>
          <w:i/>
          <w:iCs/>
          <w:color w:val="0F4761" w:themeColor="accent1" w:themeShade="BF"/>
        </w:rPr>
      </w:pPr>
      <w:r w:rsidRPr="00CA26E6">
        <w:rPr>
          <w:rFonts w:ascii="Arial" w:hAnsi="Arial" w:cs="Arial"/>
          <w:i/>
          <w:iCs/>
          <w:color w:val="19285A"/>
        </w:rPr>
        <w:t>Staffing: Hiring or retaining staff for the essential positions of the projects.</w:t>
      </w:r>
    </w:p>
    <w:p w14:paraId="5375D88B" w14:textId="47A23029"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77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10) have </w:t>
      </w:r>
      <w:r w:rsidR="00084425">
        <w:rPr>
          <w:rFonts w:eastAsiaTheme="minorHAnsi"/>
          <w:kern w:val="2"/>
          <w:szCs w:val="24"/>
          <w14:ligatures w14:val="standardContextual"/>
        </w:rPr>
        <w:t>started hiring or retaining essential staff</w:t>
      </w:r>
      <w:r w:rsidRPr="000B719C">
        <w:rPr>
          <w:rFonts w:eastAsiaTheme="minorHAnsi"/>
          <w:kern w:val="2"/>
          <w:szCs w:val="24"/>
          <w14:ligatures w14:val="standardContextual"/>
        </w:rPr>
        <w:t xml:space="preserve"> through recruitment and hiring of Deputy District Attorneys, Deputy District </w:t>
      </w:r>
      <w:proofErr w:type="gramStart"/>
      <w:r w:rsidRPr="000B719C">
        <w:rPr>
          <w:rFonts w:eastAsiaTheme="minorHAnsi"/>
          <w:kern w:val="2"/>
          <w:szCs w:val="24"/>
          <w14:ligatures w14:val="standardContextual"/>
        </w:rPr>
        <w:t>Investigators</w:t>
      </w:r>
      <w:proofErr w:type="gramEnd"/>
      <w:r w:rsidRPr="000B719C">
        <w:rPr>
          <w:rFonts w:eastAsiaTheme="minorHAnsi"/>
          <w:kern w:val="2"/>
          <w:szCs w:val="24"/>
          <w14:ligatures w14:val="standardContextual"/>
        </w:rPr>
        <w:t xml:space="preserve"> and analysts. </w:t>
      </w:r>
    </w:p>
    <w:p w14:paraId="3A6C78EC" w14:textId="77777777" w:rsidR="000B719C" w:rsidRPr="000B719C" w:rsidRDefault="000B719C"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sidRPr="000B719C">
        <w:rPr>
          <w:rFonts w:eastAsiaTheme="minorHAnsi"/>
          <w:kern w:val="2"/>
          <w:szCs w:val="24"/>
          <w14:ligatures w14:val="standardContextual"/>
        </w:rPr>
        <w:t xml:space="preserve">Lengthy background investigations, unit restructuring, staff reassignment and turnover challenges have delayed completion of staffing. </w:t>
      </w:r>
    </w:p>
    <w:p w14:paraId="59DB1A79" w14:textId="0ECFF0DE" w:rsidR="000B719C" w:rsidRPr="000B719C" w:rsidRDefault="00084425"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Some g</w:t>
      </w:r>
      <w:r w:rsidR="000B719C" w:rsidRPr="000B719C">
        <w:rPr>
          <w:rFonts w:eastAsiaTheme="minorHAnsi"/>
          <w:kern w:val="2"/>
          <w:szCs w:val="24"/>
          <w14:ligatures w14:val="standardContextual"/>
        </w:rPr>
        <w:t>rantees reported that when vertical prosecutors are in court, their incoming cases must be reviewed by fellow attorneys to adequately respond to in-custody cases in a timely manner. Additional funding will be sought to supplement team staffing level</w:t>
      </w:r>
      <w:r>
        <w:rPr>
          <w:rFonts w:eastAsiaTheme="minorHAnsi"/>
          <w:kern w:val="2"/>
          <w:szCs w:val="24"/>
          <w14:ligatures w14:val="standardContextual"/>
        </w:rPr>
        <w:t>s</w:t>
      </w:r>
      <w:r w:rsidR="000B719C" w:rsidRPr="000B719C">
        <w:rPr>
          <w:rFonts w:eastAsiaTheme="minorHAnsi"/>
          <w:kern w:val="2"/>
          <w:szCs w:val="24"/>
          <w14:ligatures w14:val="standardContextual"/>
        </w:rPr>
        <w:t xml:space="preserve"> to accommodate the caseload. </w:t>
      </w:r>
    </w:p>
    <w:p w14:paraId="45936EB2" w14:textId="4838F1A5" w:rsidR="000B719C" w:rsidRPr="006C2CD4" w:rsidRDefault="000B719C" w:rsidP="00C478D9">
      <w:pPr>
        <w:pStyle w:val="BodyText"/>
        <w:numPr>
          <w:ilvl w:val="0"/>
          <w:numId w:val="4"/>
        </w:numPr>
        <w:tabs>
          <w:tab w:val="left" w:pos="360"/>
        </w:tabs>
        <w:spacing w:before="1"/>
        <w:ind w:left="720" w:right="30"/>
        <w:jc w:val="both"/>
        <w:rPr>
          <w:rFonts w:eastAsiaTheme="minorHAnsi"/>
          <w:i/>
          <w:iCs/>
          <w:color w:val="0F4761" w:themeColor="accent1" w:themeShade="BF"/>
          <w:kern w:val="2"/>
          <w:szCs w:val="24"/>
          <w14:ligatures w14:val="standardContextual"/>
        </w:rPr>
      </w:pPr>
      <w:r w:rsidRPr="000B719C">
        <w:rPr>
          <w:rFonts w:eastAsiaTheme="minorHAnsi"/>
          <w:kern w:val="2"/>
          <w:szCs w:val="24"/>
          <w14:ligatures w14:val="standardContextual"/>
        </w:rPr>
        <w:t>15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2) </w:t>
      </w:r>
      <w:r>
        <w:rPr>
          <w:rFonts w:eastAsiaTheme="minorHAnsi"/>
          <w:color w:val="000000" w:themeColor="text1"/>
          <w:kern w:val="2"/>
          <w:szCs w:val="24"/>
          <w14:ligatures w14:val="standardContextual"/>
        </w:rPr>
        <w:t xml:space="preserve">completed staffing, hiring the necessary Deputy District Attorneys, District Attorney </w:t>
      </w:r>
      <w:r w:rsidR="00535989">
        <w:rPr>
          <w:rFonts w:eastAsiaTheme="minorHAnsi"/>
          <w:color w:val="000000" w:themeColor="text1"/>
          <w:kern w:val="2"/>
          <w:szCs w:val="24"/>
          <w14:ligatures w14:val="standardContextual"/>
        </w:rPr>
        <w:t>Investigators,</w:t>
      </w:r>
      <w:r>
        <w:rPr>
          <w:rFonts w:eastAsiaTheme="minorHAnsi"/>
          <w:color w:val="000000" w:themeColor="text1"/>
          <w:kern w:val="2"/>
          <w:szCs w:val="24"/>
          <w14:ligatures w14:val="standardContextual"/>
        </w:rPr>
        <w:t xml:space="preserve"> and other staff</w:t>
      </w:r>
      <w:r w:rsidR="00084425">
        <w:rPr>
          <w:rFonts w:eastAsiaTheme="minorHAnsi"/>
          <w:color w:val="000000" w:themeColor="text1"/>
          <w:kern w:val="2"/>
          <w:szCs w:val="24"/>
          <w14:ligatures w14:val="standardContextual"/>
        </w:rPr>
        <w:t xml:space="preserve"> for their project</w:t>
      </w:r>
      <w:r>
        <w:rPr>
          <w:rFonts w:eastAsiaTheme="minorHAnsi"/>
          <w:color w:val="000000" w:themeColor="text1"/>
          <w:kern w:val="2"/>
          <w:szCs w:val="24"/>
          <w14:ligatures w14:val="standardContextual"/>
        </w:rPr>
        <w:t xml:space="preserve">.  </w:t>
      </w:r>
    </w:p>
    <w:p w14:paraId="126AE4B4" w14:textId="77777777" w:rsidR="00CA29BB" w:rsidRPr="001A15F6" w:rsidRDefault="00CA29BB" w:rsidP="00C478D9">
      <w:pPr>
        <w:spacing w:after="0"/>
        <w:jc w:val="both"/>
        <w:rPr>
          <w:rFonts w:ascii="Arial" w:hAnsi="Arial" w:cs="Arial"/>
          <w:i/>
          <w:iCs/>
          <w:color w:val="0F4761" w:themeColor="accent1" w:themeShade="BF"/>
        </w:rPr>
      </w:pPr>
    </w:p>
    <w:p w14:paraId="70AE4AA5" w14:textId="1679E836"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Training: Providing training to staff or external collaborators to support project goals. </w:t>
      </w:r>
    </w:p>
    <w:p w14:paraId="56F62BE4" w14:textId="36AE4B97"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62 percent of grantees (</w:t>
      </w:r>
      <w:r w:rsidRPr="000B719C">
        <w:rPr>
          <w:rFonts w:eastAsiaTheme="minorHAnsi"/>
          <w:i/>
          <w:iCs/>
          <w:kern w:val="2"/>
          <w:szCs w:val="24"/>
          <w14:ligatures w14:val="standardContextual"/>
        </w:rPr>
        <w:t xml:space="preserve">n = </w:t>
      </w:r>
      <w:r w:rsidRPr="000B719C">
        <w:rPr>
          <w:rFonts w:eastAsiaTheme="minorHAnsi"/>
          <w:kern w:val="2"/>
          <w:szCs w:val="24"/>
          <w14:ligatures w14:val="standardContextual"/>
        </w:rPr>
        <w:t xml:space="preserve">8) have started </w:t>
      </w:r>
      <w:r w:rsidR="00535989">
        <w:rPr>
          <w:rFonts w:eastAsiaTheme="minorHAnsi"/>
          <w:kern w:val="2"/>
          <w:szCs w:val="24"/>
          <w14:ligatures w14:val="standardContextual"/>
        </w:rPr>
        <w:t xml:space="preserve">implementing the </w:t>
      </w:r>
      <w:r w:rsidRPr="000B719C">
        <w:rPr>
          <w:rFonts w:eastAsiaTheme="minorHAnsi"/>
          <w:kern w:val="2"/>
          <w:szCs w:val="24"/>
          <w14:ligatures w14:val="standardContextual"/>
        </w:rPr>
        <w:t xml:space="preserve">training </w:t>
      </w:r>
      <w:r w:rsidR="00535989">
        <w:rPr>
          <w:rFonts w:eastAsiaTheme="minorHAnsi"/>
          <w:kern w:val="2"/>
          <w:szCs w:val="24"/>
          <w14:ligatures w14:val="standardContextual"/>
        </w:rPr>
        <w:t>provided to support their projects</w:t>
      </w:r>
      <w:r w:rsidRPr="000B719C">
        <w:rPr>
          <w:rFonts w:eastAsiaTheme="minorHAnsi"/>
          <w:kern w:val="2"/>
          <w:szCs w:val="24"/>
          <w14:ligatures w14:val="standardContextual"/>
        </w:rPr>
        <w:t>. Grantees have conducted internal trainings and attended external training sessions with other counties, law enforcement, the C</w:t>
      </w:r>
      <w:r w:rsidR="00535989">
        <w:rPr>
          <w:rFonts w:eastAsiaTheme="minorHAnsi"/>
          <w:kern w:val="2"/>
          <w:szCs w:val="24"/>
          <w14:ligatures w14:val="standardContextual"/>
        </w:rPr>
        <w:t xml:space="preserve">alifornia </w:t>
      </w:r>
      <w:r w:rsidRPr="000B719C">
        <w:rPr>
          <w:rFonts w:eastAsiaTheme="minorHAnsi"/>
          <w:kern w:val="2"/>
          <w:szCs w:val="24"/>
          <w14:ligatures w14:val="standardContextual"/>
        </w:rPr>
        <w:t>H</w:t>
      </w:r>
      <w:r w:rsidR="00535989">
        <w:rPr>
          <w:rFonts w:eastAsiaTheme="minorHAnsi"/>
          <w:kern w:val="2"/>
          <w:szCs w:val="24"/>
          <w14:ligatures w14:val="standardContextual"/>
        </w:rPr>
        <w:t xml:space="preserve">ighway </w:t>
      </w:r>
      <w:r w:rsidRPr="000B719C">
        <w:rPr>
          <w:rFonts w:eastAsiaTheme="minorHAnsi"/>
          <w:kern w:val="2"/>
          <w:szCs w:val="24"/>
          <w14:ligatures w14:val="standardContextual"/>
        </w:rPr>
        <w:t>P</w:t>
      </w:r>
      <w:r w:rsidR="00535989">
        <w:rPr>
          <w:rFonts w:eastAsiaTheme="minorHAnsi"/>
          <w:kern w:val="2"/>
          <w:szCs w:val="24"/>
          <w14:ligatures w14:val="standardContextual"/>
        </w:rPr>
        <w:t>atrol (CHP)</w:t>
      </w:r>
      <w:r w:rsidRPr="000B719C">
        <w:rPr>
          <w:rFonts w:eastAsiaTheme="minorHAnsi"/>
          <w:kern w:val="2"/>
          <w:szCs w:val="24"/>
          <w14:ligatures w14:val="standardContextual"/>
        </w:rPr>
        <w:t xml:space="preserve"> Regional ORT Task Force and the San Diego Organized Retail Crimes Association (SDORCA), regarding investigation techniques, use of diversion, retailer relations, legal procedures, report-writing, criminal prosecution procedure</w:t>
      </w:r>
      <w:r w:rsidR="00336273">
        <w:rPr>
          <w:rFonts w:eastAsiaTheme="minorHAnsi"/>
          <w:kern w:val="2"/>
          <w:szCs w:val="24"/>
          <w14:ligatures w14:val="standardContextual"/>
        </w:rPr>
        <w:t>s</w:t>
      </w:r>
      <w:r w:rsidRPr="000B719C">
        <w:rPr>
          <w:rFonts w:eastAsiaTheme="minorHAnsi"/>
          <w:kern w:val="2"/>
          <w:szCs w:val="24"/>
          <w14:ligatures w14:val="standardContextual"/>
        </w:rPr>
        <w:t xml:space="preserve"> and court testimony.</w:t>
      </w:r>
    </w:p>
    <w:p w14:paraId="3CFEA385" w14:textId="5951F2CC"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15 percent of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2) </w:t>
      </w:r>
      <w:r w:rsidR="00336273">
        <w:rPr>
          <w:rFonts w:eastAsiaTheme="minorHAnsi"/>
          <w:kern w:val="2"/>
          <w:szCs w:val="24"/>
          <w14:ligatures w14:val="standardContextual"/>
        </w:rPr>
        <w:t>are</w:t>
      </w:r>
      <w:r w:rsidRPr="000B719C">
        <w:rPr>
          <w:rFonts w:eastAsiaTheme="minorHAnsi"/>
          <w:kern w:val="2"/>
          <w:szCs w:val="24"/>
          <w14:ligatures w14:val="standardContextual"/>
        </w:rPr>
        <w:t xml:space="preserve"> planning to host trainings for law enforcement and retail partners </w:t>
      </w:r>
      <w:r w:rsidR="00336273">
        <w:rPr>
          <w:rFonts w:eastAsiaTheme="minorHAnsi"/>
          <w:kern w:val="2"/>
          <w:szCs w:val="24"/>
          <w14:ligatures w14:val="standardContextual"/>
        </w:rPr>
        <w:t>regarding</w:t>
      </w:r>
      <w:r w:rsidRPr="000B719C">
        <w:rPr>
          <w:rFonts w:eastAsiaTheme="minorHAnsi"/>
          <w:kern w:val="2"/>
          <w:szCs w:val="24"/>
          <w14:ligatures w14:val="standardContextual"/>
        </w:rPr>
        <w:t xml:space="preserve"> case documentation to enable successful prosecutions. Grantees </w:t>
      </w:r>
      <w:r w:rsidR="00336273">
        <w:rPr>
          <w:rFonts w:eastAsiaTheme="minorHAnsi"/>
          <w:kern w:val="2"/>
          <w:szCs w:val="24"/>
          <w14:ligatures w14:val="standardContextual"/>
        </w:rPr>
        <w:t>are</w:t>
      </w:r>
      <w:r w:rsidRPr="000B719C">
        <w:rPr>
          <w:rFonts w:eastAsiaTheme="minorHAnsi"/>
          <w:kern w:val="2"/>
          <w:szCs w:val="24"/>
          <w14:ligatures w14:val="standardContextual"/>
        </w:rPr>
        <w:t xml:space="preserve"> evaluating available training opportunities </w:t>
      </w:r>
      <w:r w:rsidR="00535989">
        <w:rPr>
          <w:rFonts w:eastAsiaTheme="minorHAnsi"/>
          <w:kern w:val="2"/>
          <w:szCs w:val="24"/>
          <w14:ligatures w14:val="standardContextual"/>
        </w:rPr>
        <w:t xml:space="preserve">that will benefit </w:t>
      </w:r>
      <w:r w:rsidRPr="000B719C">
        <w:rPr>
          <w:rFonts w:eastAsiaTheme="minorHAnsi"/>
          <w:kern w:val="2"/>
          <w:szCs w:val="24"/>
          <w14:ligatures w14:val="standardContextual"/>
        </w:rPr>
        <w:t xml:space="preserve">future staff.   </w:t>
      </w:r>
    </w:p>
    <w:p w14:paraId="0FD3E90E" w14:textId="18BF2DED"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15 percent or grantees (</w:t>
      </w:r>
      <w:r w:rsidRPr="000B719C">
        <w:rPr>
          <w:rFonts w:eastAsiaTheme="minorHAnsi"/>
          <w:i/>
          <w:iCs/>
          <w:kern w:val="2"/>
          <w:szCs w:val="24"/>
          <w14:ligatures w14:val="standardContextual"/>
        </w:rPr>
        <w:t xml:space="preserve">n </w:t>
      </w:r>
      <w:r w:rsidRPr="000B719C">
        <w:rPr>
          <w:rFonts w:eastAsiaTheme="minorHAnsi"/>
          <w:kern w:val="2"/>
          <w:szCs w:val="24"/>
          <w14:ligatures w14:val="standardContextual"/>
        </w:rPr>
        <w:t xml:space="preserve">= 2) have not </w:t>
      </w:r>
      <w:r w:rsidR="00535989">
        <w:rPr>
          <w:rFonts w:eastAsiaTheme="minorHAnsi"/>
          <w:kern w:val="2"/>
          <w:szCs w:val="24"/>
          <w14:ligatures w14:val="standardContextual"/>
        </w:rPr>
        <w:t>started</w:t>
      </w:r>
      <w:r w:rsidRPr="000B719C">
        <w:rPr>
          <w:rFonts w:eastAsiaTheme="minorHAnsi"/>
          <w:kern w:val="2"/>
          <w:szCs w:val="24"/>
          <w14:ligatures w14:val="standardContextual"/>
        </w:rPr>
        <w:t xml:space="preserve"> training as staff have yet to be hired.</w:t>
      </w:r>
    </w:p>
    <w:p w14:paraId="15580BB3" w14:textId="77777777" w:rsidR="00CA29BB" w:rsidRPr="001A15F6" w:rsidRDefault="00CA29BB" w:rsidP="00173362">
      <w:pPr>
        <w:spacing w:after="0"/>
        <w:rPr>
          <w:rFonts w:ascii="Arial" w:hAnsi="Arial" w:cs="Arial"/>
          <w:i/>
          <w:iCs/>
          <w:color w:val="0F4761" w:themeColor="accent1" w:themeShade="BF"/>
        </w:rPr>
      </w:pPr>
    </w:p>
    <w:p w14:paraId="12C18A12" w14:textId="21F8DAE1" w:rsidR="00CA29BB" w:rsidRPr="00CA26E6" w:rsidRDefault="00CA29BB" w:rsidP="00173362">
      <w:pPr>
        <w:spacing w:after="0"/>
        <w:rPr>
          <w:rFonts w:ascii="Arial" w:hAnsi="Arial" w:cs="Arial"/>
          <w:i/>
          <w:iCs/>
          <w:color w:val="19285A"/>
        </w:rPr>
      </w:pPr>
      <w:r w:rsidRPr="00CA26E6">
        <w:rPr>
          <w:rFonts w:ascii="Arial" w:hAnsi="Arial" w:cs="Arial"/>
          <w:i/>
          <w:iCs/>
          <w:color w:val="19285A"/>
        </w:rPr>
        <w:t xml:space="preserve">Data Collection: Systematic, ongoing data collection for progress reports and evaluation. </w:t>
      </w:r>
    </w:p>
    <w:p w14:paraId="757B0D74" w14:textId="2FF6F29B"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62 percent of grantees (</w:t>
      </w:r>
      <w:r w:rsidRPr="000B719C">
        <w:rPr>
          <w:rFonts w:eastAsiaTheme="minorHAnsi"/>
          <w:i/>
          <w:iCs/>
          <w:kern w:val="2"/>
          <w:szCs w:val="24"/>
          <w14:ligatures w14:val="standardContextual"/>
        </w:rPr>
        <w:t xml:space="preserve">n = </w:t>
      </w:r>
      <w:r w:rsidRPr="000B719C">
        <w:rPr>
          <w:rFonts w:eastAsiaTheme="minorHAnsi"/>
          <w:kern w:val="2"/>
          <w:szCs w:val="24"/>
          <w14:ligatures w14:val="standardContextual"/>
        </w:rPr>
        <w:t xml:space="preserve">8) </w:t>
      </w:r>
      <w:r w:rsidR="00535989">
        <w:rPr>
          <w:rFonts w:eastAsiaTheme="minorHAnsi"/>
          <w:kern w:val="2"/>
          <w:szCs w:val="24"/>
          <w14:ligatures w14:val="standardContextual"/>
        </w:rPr>
        <w:t>started implementing</w:t>
      </w:r>
      <w:r w:rsidRPr="000B719C">
        <w:rPr>
          <w:rFonts w:eastAsiaTheme="minorHAnsi"/>
          <w:kern w:val="2"/>
          <w:szCs w:val="24"/>
          <w14:ligatures w14:val="standardContextual"/>
        </w:rPr>
        <w:t xml:space="preserve"> data collection and evaluation</w:t>
      </w:r>
      <w:r w:rsidR="00535989">
        <w:rPr>
          <w:rFonts w:eastAsiaTheme="minorHAnsi"/>
          <w:kern w:val="2"/>
          <w:szCs w:val="24"/>
          <w14:ligatures w14:val="standardContextual"/>
        </w:rPr>
        <w:t xml:space="preserve"> process for their projects</w:t>
      </w:r>
      <w:r w:rsidRPr="000B719C">
        <w:rPr>
          <w:rFonts w:eastAsiaTheme="minorHAnsi"/>
          <w:kern w:val="2"/>
          <w:szCs w:val="24"/>
          <w14:ligatures w14:val="standardContextual"/>
        </w:rPr>
        <w:t xml:space="preserve">, working with internal staff and evaluators to streamline data </w:t>
      </w:r>
      <w:r w:rsidR="00535989">
        <w:rPr>
          <w:rFonts w:eastAsiaTheme="minorHAnsi"/>
          <w:kern w:val="2"/>
          <w:szCs w:val="24"/>
          <w14:ligatures w14:val="standardContextual"/>
        </w:rPr>
        <w:t xml:space="preserve">collection </w:t>
      </w:r>
      <w:r w:rsidRPr="000B719C">
        <w:rPr>
          <w:rFonts w:eastAsiaTheme="minorHAnsi"/>
          <w:kern w:val="2"/>
          <w:szCs w:val="24"/>
          <w14:ligatures w14:val="standardContextual"/>
        </w:rPr>
        <w:t xml:space="preserve">for reporting requirements, develop their evaluation plans, and summarize </w:t>
      </w:r>
      <w:r w:rsidR="00084425">
        <w:rPr>
          <w:rFonts w:eastAsiaTheme="minorHAnsi"/>
          <w:kern w:val="2"/>
          <w:szCs w:val="24"/>
          <w14:ligatures w14:val="standardContextual"/>
        </w:rPr>
        <w:t xml:space="preserve">their </w:t>
      </w:r>
      <w:r w:rsidRPr="000B719C">
        <w:rPr>
          <w:rFonts w:eastAsiaTheme="minorHAnsi"/>
          <w:kern w:val="2"/>
          <w:szCs w:val="24"/>
          <w14:ligatures w14:val="standardContextual"/>
        </w:rPr>
        <w:t>progress towards</w:t>
      </w:r>
      <w:r w:rsidR="00084425">
        <w:rPr>
          <w:rFonts w:eastAsiaTheme="minorHAnsi"/>
          <w:kern w:val="2"/>
          <w:szCs w:val="24"/>
          <w14:ligatures w14:val="standardContextual"/>
        </w:rPr>
        <w:t xml:space="preserve"> the</w:t>
      </w:r>
      <w:r w:rsidRPr="000B719C">
        <w:rPr>
          <w:rFonts w:eastAsiaTheme="minorHAnsi"/>
          <w:kern w:val="2"/>
          <w:szCs w:val="24"/>
          <w14:ligatures w14:val="standardContextual"/>
        </w:rPr>
        <w:t xml:space="preserve"> project</w:t>
      </w:r>
      <w:r w:rsidR="00084425">
        <w:rPr>
          <w:rFonts w:eastAsiaTheme="minorHAnsi"/>
          <w:kern w:val="2"/>
          <w:szCs w:val="24"/>
          <w14:ligatures w14:val="standardContextual"/>
        </w:rPr>
        <w:t>s’</w:t>
      </w:r>
      <w:r w:rsidRPr="000B719C">
        <w:rPr>
          <w:rFonts w:eastAsiaTheme="minorHAnsi"/>
          <w:kern w:val="2"/>
          <w:szCs w:val="24"/>
          <w14:ligatures w14:val="standardContextual"/>
        </w:rPr>
        <w:t xml:space="preserve"> goals and objectives. </w:t>
      </w:r>
    </w:p>
    <w:p w14:paraId="7A1D0F64" w14:textId="74E5A0E1" w:rsidR="000B719C" w:rsidRPr="000B719C" w:rsidRDefault="000B719C" w:rsidP="00C478D9">
      <w:pPr>
        <w:pStyle w:val="BodyText"/>
        <w:numPr>
          <w:ilvl w:val="0"/>
          <w:numId w:val="4"/>
        </w:numPr>
        <w:tabs>
          <w:tab w:val="left" w:pos="360"/>
        </w:tabs>
        <w:spacing w:before="1"/>
        <w:ind w:left="720" w:right="30"/>
        <w:jc w:val="both"/>
        <w:rPr>
          <w:rFonts w:eastAsiaTheme="minorHAnsi"/>
          <w:i/>
          <w:iCs/>
          <w:kern w:val="2"/>
          <w:szCs w:val="24"/>
          <w14:ligatures w14:val="standardContextual"/>
        </w:rPr>
      </w:pPr>
      <w:r w:rsidRPr="000B719C">
        <w:rPr>
          <w:rFonts w:eastAsiaTheme="minorHAnsi"/>
          <w:kern w:val="2"/>
          <w:szCs w:val="24"/>
          <w14:ligatures w14:val="standardContextual"/>
        </w:rPr>
        <w:t>3</w:t>
      </w:r>
      <w:r w:rsidR="004C2CAD">
        <w:rPr>
          <w:rFonts w:eastAsiaTheme="minorHAnsi"/>
          <w:kern w:val="2"/>
          <w:szCs w:val="24"/>
          <w14:ligatures w14:val="standardContextual"/>
        </w:rPr>
        <w:t>8</w:t>
      </w:r>
      <w:r w:rsidRPr="000B719C">
        <w:rPr>
          <w:rFonts w:eastAsiaTheme="minorHAnsi"/>
          <w:kern w:val="2"/>
          <w:szCs w:val="24"/>
          <w14:ligatures w14:val="standardContextual"/>
        </w:rPr>
        <w:t xml:space="preserve"> percent of grantees (</w:t>
      </w:r>
      <w:r w:rsidRPr="000B719C">
        <w:rPr>
          <w:rFonts w:eastAsiaTheme="minorHAnsi"/>
          <w:i/>
          <w:iCs/>
          <w:kern w:val="2"/>
          <w:szCs w:val="24"/>
          <w14:ligatures w14:val="standardContextual"/>
        </w:rPr>
        <w:t xml:space="preserve">n = </w:t>
      </w:r>
      <w:r w:rsidRPr="000B719C">
        <w:rPr>
          <w:rFonts w:eastAsiaTheme="minorHAnsi"/>
          <w:kern w:val="2"/>
          <w:szCs w:val="24"/>
          <w14:ligatures w14:val="standardContextual"/>
        </w:rPr>
        <w:t xml:space="preserve">5) were planning </w:t>
      </w:r>
      <w:r w:rsidR="00535989" w:rsidRPr="000B719C">
        <w:rPr>
          <w:rFonts w:eastAsiaTheme="minorHAnsi"/>
          <w:kern w:val="2"/>
          <w:szCs w:val="24"/>
          <w14:ligatures w14:val="standardContextual"/>
        </w:rPr>
        <w:t>the next</w:t>
      </w:r>
      <w:r w:rsidRPr="000B719C">
        <w:rPr>
          <w:rFonts w:eastAsiaTheme="minorHAnsi"/>
          <w:kern w:val="2"/>
          <w:szCs w:val="24"/>
          <w14:ligatures w14:val="standardContextual"/>
        </w:rPr>
        <w:t xml:space="preserve"> steps </w:t>
      </w:r>
      <w:r w:rsidR="00084425">
        <w:rPr>
          <w:rFonts w:eastAsiaTheme="minorHAnsi"/>
          <w:kern w:val="2"/>
          <w:szCs w:val="24"/>
          <w14:ligatures w14:val="standardContextual"/>
        </w:rPr>
        <w:t>for</w:t>
      </w:r>
      <w:r w:rsidRPr="000B719C">
        <w:rPr>
          <w:rFonts w:eastAsiaTheme="minorHAnsi"/>
          <w:kern w:val="2"/>
          <w:szCs w:val="24"/>
          <w14:ligatures w14:val="standardContextual"/>
        </w:rPr>
        <w:t xml:space="preserve"> their data collection and evaluation efforts.</w:t>
      </w:r>
    </w:p>
    <w:p w14:paraId="65208D3A" w14:textId="0E848540" w:rsidR="000B719C" w:rsidRPr="000B719C" w:rsidRDefault="00084425"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 xml:space="preserve">Some </w:t>
      </w:r>
      <w:r w:rsidR="000B719C" w:rsidRPr="000B719C">
        <w:rPr>
          <w:rFonts w:eastAsiaTheme="minorHAnsi"/>
          <w:kern w:val="2"/>
          <w:szCs w:val="24"/>
          <w14:ligatures w14:val="standardContextual"/>
        </w:rPr>
        <w:t xml:space="preserve">grantees began working with data and IT teams to modify case management databases, reporting </w:t>
      </w:r>
      <w:r w:rsidR="00DC1A41" w:rsidRPr="000B719C">
        <w:rPr>
          <w:rFonts w:eastAsiaTheme="minorHAnsi"/>
          <w:kern w:val="2"/>
          <w:szCs w:val="24"/>
          <w14:ligatures w14:val="standardContextual"/>
        </w:rPr>
        <w:t>criteria,</w:t>
      </w:r>
      <w:r w:rsidR="000B719C" w:rsidRPr="000B719C">
        <w:rPr>
          <w:rFonts w:eastAsiaTheme="minorHAnsi"/>
          <w:kern w:val="2"/>
          <w:szCs w:val="24"/>
          <w14:ligatures w14:val="standardContextual"/>
        </w:rPr>
        <w:t xml:space="preserve"> and tracking abilities to </w:t>
      </w:r>
      <w:r>
        <w:rPr>
          <w:rFonts w:eastAsiaTheme="minorHAnsi"/>
          <w:kern w:val="2"/>
          <w:szCs w:val="24"/>
          <w14:ligatures w14:val="standardContextual"/>
        </w:rPr>
        <w:t xml:space="preserve">meet data collection requirements and provide reliable, accurate data. </w:t>
      </w:r>
    </w:p>
    <w:p w14:paraId="1B103043" w14:textId="73E48524" w:rsidR="00336273" w:rsidRPr="00336273" w:rsidRDefault="00084425" w:rsidP="00C478D9">
      <w:pPr>
        <w:pStyle w:val="BodyText"/>
        <w:numPr>
          <w:ilvl w:val="1"/>
          <w:numId w:val="4"/>
        </w:numPr>
        <w:tabs>
          <w:tab w:val="left" w:pos="360"/>
        </w:tabs>
        <w:spacing w:before="1"/>
        <w:ind w:left="1440" w:right="30"/>
        <w:jc w:val="both"/>
        <w:rPr>
          <w:rFonts w:eastAsiaTheme="minorHAnsi"/>
          <w:i/>
          <w:iCs/>
          <w:kern w:val="2"/>
          <w:szCs w:val="24"/>
          <w14:ligatures w14:val="standardContextual"/>
        </w:rPr>
      </w:pPr>
      <w:r>
        <w:rPr>
          <w:rFonts w:eastAsiaTheme="minorHAnsi"/>
          <w:kern w:val="2"/>
          <w:szCs w:val="24"/>
          <w14:ligatures w14:val="standardContextual"/>
        </w:rPr>
        <w:t>C</w:t>
      </w:r>
      <w:r w:rsidR="000B719C" w:rsidRPr="000B719C">
        <w:rPr>
          <w:rFonts w:eastAsiaTheme="minorHAnsi"/>
          <w:kern w:val="2"/>
          <w:szCs w:val="24"/>
          <w14:ligatures w14:val="standardContextual"/>
        </w:rPr>
        <w:t xml:space="preserve">hallenges with identifying and contracting with evaluators </w:t>
      </w:r>
      <w:r w:rsidR="00336273">
        <w:rPr>
          <w:rFonts w:eastAsiaTheme="minorHAnsi"/>
          <w:kern w:val="2"/>
          <w:szCs w:val="24"/>
          <w14:ligatures w14:val="standardContextual"/>
        </w:rPr>
        <w:t xml:space="preserve">have </w:t>
      </w:r>
      <w:r w:rsidR="000B719C" w:rsidRPr="000B719C">
        <w:rPr>
          <w:rFonts w:eastAsiaTheme="minorHAnsi"/>
          <w:kern w:val="2"/>
          <w:szCs w:val="24"/>
          <w14:ligatures w14:val="standardContextual"/>
        </w:rPr>
        <w:t>caused delays in starting collaborative efforts and documenting local evaluation plans.</w:t>
      </w:r>
    </w:p>
    <w:p w14:paraId="0CC00C5C" w14:textId="66C01BBA" w:rsidR="000B719C" w:rsidRPr="000B719C" w:rsidRDefault="000B719C" w:rsidP="00336273">
      <w:pPr>
        <w:pStyle w:val="BodyText"/>
        <w:tabs>
          <w:tab w:val="left" w:pos="360"/>
        </w:tabs>
        <w:spacing w:before="1"/>
        <w:ind w:left="1440" w:right="30"/>
        <w:rPr>
          <w:rFonts w:eastAsiaTheme="minorHAnsi"/>
          <w:i/>
          <w:iCs/>
          <w:kern w:val="2"/>
          <w:szCs w:val="24"/>
          <w14:ligatures w14:val="standardContextual"/>
        </w:rPr>
      </w:pPr>
    </w:p>
    <w:p w14:paraId="1AF08B94" w14:textId="28E197FD" w:rsidR="006B20E9" w:rsidRDefault="00337139" w:rsidP="00336273">
      <w:pPr>
        <w:spacing w:after="0"/>
        <w:rPr>
          <w:rFonts w:ascii="Arial" w:hAnsi="Arial" w:cs="Arial"/>
          <w:b/>
          <w:bCs/>
          <w:color w:val="0F4761" w:themeColor="accent1" w:themeShade="BF"/>
        </w:rPr>
      </w:pPr>
      <w:r w:rsidRPr="00CA26E6">
        <w:rPr>
          <w:rFonts w:ascii="Arial" w:hAnsi="Arial" w:cs="Arial"/>
          <w:b/>
          <w:bCs/>
          <w:color w:val="19285A"/>
        </w:rPr>
        <w:t xml:space="preserve">About the </w:t>
      </w:r>
      <w:r w:rsidR="00497E8E" w:rsidRPr="00CA26E6">
        <w:rPr>
          <w:rFonts w:ascii="Arial" w:hAnsi="Arial" w:cs="Arial"/>
          <w:b/>
          <w:bCs/>
          <w:color w:val="19285A"/>
        </w:rPr>
        <w:t>Collection of</w:t>
      </w:r>
      <w:r w:rsidRPr="00CA26E6">
        <w:rPr>
          <w:rFonts w:ascii="Arial" w:hAnsi="Arial" w:cs="Arial"/>
          <w:b/>
          <w:bCs/>
          <w:color w:val="19285A"/>
        </w:rPr>
        <w:t xml:space="preserve"> Theft-related and ORT Case</w:t>
      </w:r>
      <w:r w:rsidR="00497E8E" w:rsidRPr="00CA26E6">
        <w:rPr>
          <w:rFonts w:ascii="Arial" w:hAnsi="Arial" w:cs="Arial"/>
          <w:b/>
          <w:bCs/>
          <w:color w:val="19285A"/>
        </w:rPr>
        <w:t xml:space="preserve"> Metrics</w:t>
      </w:r>
    </w:p>
    <w:p w14:paraId="17ECB20B" w14:textId="60FC8F24" w:rsidR="00B75771" w:rsidRDefault="00B75771" w:rsidP="00C478D9">
      <w:pPr>
        <w:spacing w:after="0" w:line="240" w:lineRule="auto"/>
        <w:jc w:val="both"/>
        <w:rPr>
          <w:rFonts w:ascii="Arial" w:hAnsi="Arial" w:cs="Arial"/>
        </w:rPr>
      </w:pPr>
      <w:r>
        <w:rPr>
          <w:rFonts w:ascii="Arial" w:hAnsi="Arial" w:cs="Arial"/>
        </w:rPr>
        <w:t>T</w:t>
      </w:r>
      <w:r w:rsidR="00336273">
        <w:rPr>
          <w:rFonts w:ascii="Arial" w:hAnsi="Arial" w:cs="Arial"/>
        </w:rPr>
        <w:t>h</w:t>
      </w:r>
      <w:r>
        <w:rPr>
          <w:rFonts w:ascii="Arial" w:hAnsi="Arial" w:cs="Arial"/>
        </w:rPr>
        <w:t>e Quarterly Progress Report collects metrics for theft-related property crimes and organized retail theft crimes.</w:t>
      </w:r>
      <w:r w:rsidR="006C5C00">
        <w:rPr>
          <w:rStyle w:val="FootnoteReference"/>
          <w:rFonts w:ascii="Arial" w:hAnsi="Arial" w:cs="Arial"/>
        </w:rPr>
        <w:footnoteReference w:id="2"/>
      </w:r>
      <w:r>
        <w:rPr>
          <w:rFonts w:ascii="Arial" w:hAnsi="Arial" w:cs="Arial"/>
        </w:rPr>
        <w:t xml:space="preserve"> For both types of crimes, g</w:t>
      </w:r>
      <w:r w:rsidRPr="00337139">
        <w:rPr>
          <w:rFonts w:ascii="Arial" w:hAnsi="Arial" w:cs="Arial"/>
        </w:rPr>
        <w:t xml:space="preserve">rantees </w:t>
      </w:r>
      <w:r w:rsidR="007F2131">
        <w:rPr>
          <w:rFonts w:ascii="Arial" w:hAnsi="Arial" w:cs="Arial"/>
        </w:rPr>
        <w:t xml:space="preserve">may </w:t>
      </w:r>
      <w:r w:rsidRPr="00337139">
        <w:rPr>
          <w:rFonts w:ascii="Arial" w:hAnsi="Arial" w:cs="Arial"/>
        </w:rPr>
        <w:t xml:space="preserve">use the BSCC definition or a department specific definition. </w:t>
      </w:r>
      <w:r w:rsidR="00336273">
        <w:rPr>
          <w:rFonts w:ascii="Arial" w:hAnsi="Arial" w:cs="Arial"/>
        </w:rPr>
        <w:t xml:space="preserve">The </w:t>
      </w:r>
      <w:r w:rsidRPr="00337139">
        <w:rPr>
          <w:rFonts w:ascii="Arial" w:hAnsi="Arial" w:cs="Arial"/>
        </w:rPr>
        <w:t>BSCC definition</w:t>
      </w:r>
      <w:r>
        <w:rPr>
          <w:rFonts w:ascii="Arial" w:hAnsi="Arial" w:cs="Arial"/>
        </w:rPr>
        <w:t xml:space="preserve">s are: </w:t>
      </w:r>
    </w:p>
    <w:p w14:paraId="3C92F35A" w14:textId="4E415E57" w:rsidR="00535989" w:rsidRDefault="00B75771" w:rsidP="00C478D9">
      <w:pPr>
        <w:pStyle w:val="ListParagraph"/>
        <w:numPr>
          <w:ilvl w:val="0"/>
          <w:numId w:val="6"/>
        </w:numPr>
        <w:spacing w:after="0" w:line="240" w:lineRule="auto"/>
        <w:jc w:val="both"/>
        <w:rPr>
          <w:rFonts w:ascii="Arial" w:hAnsi="Arial" w:cs="Arial"/>
        </w:rPr>
      </w:pPr>
      <w:r w:rsidRPr="00B75771">
        <w:rPr>
          <w:rFonts w:ascii="Arial" w:hAnsi="Arial" w:cs="Arial"/>
          <w:b/>
          <w:bCs/>
        </w:rPr>
        <w:lastRenderedPageBreak/>
        <w:t>Theft-related property crimes</w:t>
      </w:r>
      <w:r w:rsidRPr="00B75771">
        <w:rPr>
          <w:rFonts w:ascii="Arial" w:hAnsi="Arial" w:cs="Arial"/>
        </w:rPr>
        <w:t xml:space="preserve"> include any crimes described in Chapter 5 of Title 13 of Part 1 of the P</w:t>
      </w:r>
      <w:r w:rsidR="007F2131">
        <w:rPr>
          <w:rFonts w:ascii="Arial" w:hAnsi="Arial" w:cs="Arial"/>
        </w:rPr>
        <w:t xml:space="preserve">enal </w:t>
      </w:r>
      <w:r w:rsidRPr="00B75771">
        <w:rPr>
          <w:rFonts w:ascii="Arial" w:hAnsi="Arial" w:cs="Arial"/>
        </w:rPr>
        <w:t>C</w:t>
      </w:r>
      <w:r w:rsidR="007F2131">
        <w:rPr>
          <w:rFonts w:ascii="Arial" w:hAnsi="Arial" w:cs="Arial"/>
        </w:rPr>
        <w:t xml:space="preserve">ode </w:t>
      </w:r>
      <w:r w:rsidRPr="00B75771">
        <w:rPr>
          <w:rFonts w:ascii="Arial" w:hAnsi="Arial" w:cs="Arial"/>
        </w:rPr>
        <w:t>(</w:t>
      </w:r>
      <w:r w:rsidR="007F2131">
        <w:rPr>
          <w:rFonts w:ascii="Arial" w:hAnsi="Arial" w:cs="Arial"/>
        </w:rPr>
        <w:t xml:space="preserve">PC, </w:t>
      </w:r>
      <w:r w:rsidRPr="00B75771">
        <w:rPr>
          <w:rFonts w:ascii="Arial" w:hAnsi="Arial" w:cs="Arial"/>
        </w:rPr>
        <w:t>commencing with Section 484). In addition, theft-related property crimes include violations of PC sections 211-215 (robbery, train robbery, and carjacking), 459 (burglary), and 459.5 (shoplifting). Theft-related property crime does include ORT (PC section 490.4).</w:t>
      </w:r>
      <w:r w:rsidR="00304289">
        <w:rPr>
          <w:rFonts w:ascii="Arial" w:hAnsi="Arial" w:cs="Arial"/>
        </w:rPr>
        <w:t xml:space="preserve"> Seventy-seven (77) </w:t>
      </w:r>
      <w:r w:rsidRPr="00337139">
        <w:rPr>
          <w:rFonts w:ascii="Arial" w:hAnsi="Arial" w:cs="Arial"/>
        </w:rPr>
        <w:t xml:space="preserve">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10</w:t>
      </w:r>
      <w:r w:rsidR="004070E2">
        <w:rPr>
          <w:rFonts w:ascii="Arial" w:hAnsi="Arial" w:cs="Arial"/>
        </w:rPr>
        <w:t xml:space="preserve">) </w:t>
      </w:r>
      <w:r w:rsidRPr="00337139">
        <w:rPr>
          <w:rFonts w:ascii="Arial" w:hAnsi="Arial" w:cs="Arial"/>
        </w:rPr>
        <w:t>report using the BSCC definition.</w:t>
      </w:r>
      <w:r>
        <w:rPr>
          <w:rStyle w:val="FootnoteReference"/>
          <w:rFonts w:ascii="Arial" w:hAnsi="Arial" w:cs="Arial"/>
        </w:rPr>
        <w:footnoteReference w:id="3"/>
      </w:r>
      <w:r w:rsidRPr="00337139">
        <w:rPr>
          <w:rFonts w:ascii="Arial" w:hAnsi="Arial" w:cs="Arial"/>
        </w:rPr>
        <w:t xml:space="preserve"> </w:t>
      </w:r>
    </w:p>
    <w:p w14:paraId="49F41585" w14:textId="3293D58D" w:rsidR="00B75771" w:rsidRPr="00B75771" w:rsidRDefault="007F2131" w:rsidP="00C478D9">
      <w:pPr>
        <w:pStyle w:val="ListParagraph"/>
        <w:numPr>
          <w:ilvl w:val="0"/>
          <w:numId w:val="6"/>
        </w:numPr>
        <w:spacing w:after="0" w:line="240" w:lineRule="auto"/>
        <w:jc w:val="both"/>
        <w:rPr>
          <w:rFonts w:ascii="Arial" w:hAnsi="Arial" w:cs="Arial"/>
        </w:rPr>
      </w:pPr>
      <w:r>
        <w:rPr>
          <w:rFonts w:ascii="Arial" w:hAnsi="Arial" w:cs="Arial"/>
        </w:rPr>
        <w:t xml:space="preserve">A case involving </w:t>
      </w:r>
      <w:r w:rsidR="00B75771" w:rsidRPr="007F2131">
        <w:rPr>
          <w:rFonts w:ascii="Arial" w:hAnsi="Arial" w:cs="Arial"/>
          <w:b/>
          <w:bCs/>
        </w:rPr>
        <w:t>organized retail theft crimes</w:t>
      </w:r>
      <w:r w:rsidR="00B75771" w:rsidRPr="00337139">
        <w:rPr>
          <w:rFonts w:ascii="Arial" w:hAnsi="Arial" w:cs="Arial"/>
        </w:rPr>
        <w:t xml:space="preserve"> can include multiple charges but at least one of the charges must be for PC section 490.4 and a coparticipant does not have to be charged. ORT cases do fall within the BSCC definition of theft-related property crimes and counts of ORT cases using this definition are therefore a subset of theft-related property crime cases. </w:t>
      </w:r>
      <w:r w:rsidR="00397618">
        <w:rPr>
          <w:rFonts w:ascii="Arial" w:hAnsi="Arial" w:cs="Arial"/>
        </w:rPr>
        <w:t>Ninety-two</w:t>
      </w:r>
      <w:r w:rsidR="00B75771" w:rsidRPr="0063240C">
        <w:rPr>
          <w:rFonts w:ascii="Arial" w:hAnsi="Arial" w:cs="Arial"/>
        </w:rPr>
        <w:t xml:space="preserve"> (</w:t>
      </w:r>
      <w:r w:rsidR="00397618">
        <w:rPr>
          <w:rFonts w:ascii="Arial" w:hAnsi="Arial" w:cs="Arial"/>
        </w:rPr>
        <w:t>92</w:t>
      </w:r>
      <w:r w:rsidR="00B75771" w:rsidRPr="0063240C">
        <w:rPr>
          <w:rFonts w:ascii="Arial" w:hAnsi="Arial" w:cs="Arial"/>
        </w:rPr>
        <w:t>)</w:t>
      </w:r>
      <w:r w:rsidR="00B75771" w:rsidRPr="00337139">
        <w:rPr>
          <w:rFonts w:ascii="Arial" w:hAnsi="Arial" w:cs="Arial"/>
        </w:rPr>
        <w:t xml:space="preserve"> percent of the grantees </w:t>
      </w:r>
      <w:r w:rsidR="004070E2">
        <w:rPr>
          <w:rFonts w:ascii="Arial" w:hAnsi="Arial" w:cs="Arial"/>
        </w:rPr>
        <w:t>(</w:t>
      </w:r>
      <w:r w:rsidR="004070E2" w:rsidRPr="004070E2">
        <w:rPr>
          <w:rFonts w:ascii="Arial" w:hAnsi="Arial" w:cs="Arial"/>
          <w:i/>
          <w:iCs/>
        </w:rPr>
        <w:t>n</w:t>
      </w:r>
      <w:r w:rsidR="004070E2">
        <w:rPr>
          <w:rFonts w:ascii="Arial" w:hAnsi="Arial" w:cs="Arial"/>
        </w:rPr>
        <w:t xml:space="preserve"> = </w:t>
      </w:r>
      <w:r w:rsidR="00304289">
        <w:rPr>
          <w:rFonts w:ascii="Arial" w:hAnsi="Arial" w:cs="Arial"/>
        </w:rPr>
        <w:t>1</w:t>
      </w:r>
      <w:r w:rsidR="00397618">
        <w:rPr>
          <w:rFonts w:ascii="Arial" w:hAnsi="Arial" w:cs="Arial"/>
        </w:rPr>
        <w:t>2</w:t>
      </w:r>
      <w:r w:rsidR="004070E2">
        <w:rPr>
          <w:rFonts w:ascii="Arial" w:hAnsi="Arial" w:cs="Arial"/>
        </w:rPr>
        <w:t xml:space="preserve">) </w:t>
      </w:r>
      <w:r w:rsidR="00B75771" w:rsidRPr="00337139">
        <w:rPr>
          <w:rFonts w:ascii="Arial" w:hAnsi="Arial" w:cs="Arial"/>
        </w:rPr>
        <w:t>report using the BSCC definition.</w:t>
      </w:r>
      <w:r w:rsidRPr="007F2131">
        <w:rPr>
          <w:rStyle w:val="FootnoteReference"/>
          <w:rFonts w:ascii="Arial" w:hAnsi="Arial" w:cs="Arial"/>
        </w:rPr>
        <w:t xml:space="preserve"> </w:t>
      </w:r>
      <w:r>
        <w:rPr>
          <w:rStyle w:val="FootnoteReference"/>
          <w:rFonts w:ascii="Arial" w:hAnsi="Arial" w:cs="Arial"/>
        </w:rPr>
        <w:footnoteReference w:id="4"/>
      </w:r>
    </w:p>
    <w:p w14:paraId="184ED86F" w14:textId="77777777" w:rsidR="00B75771" w:rsidRDefault="00B75771" w:rsidP="00C478D9">
      <w:pPr>
        <w:spacing w:after="0" w:line="240" w:lineRule="auto"/>
        <w:jc w:val="both"/>
        <w:rPr>
          <w:rFonts w:ascii="Arial" w:hAnsi="Arial" w:cs="Arial"/>
        </w:rPr>
      </w:pPr>
    </w:p>
    <w:p w14:paraId="7D3CB864" w14:textId="356E3CFB" w:rsidR="006C5C00" w:rsidRDefault="004F181E" w:rsidP="00C478D9">
      <w:pPr>
        <w:spacing w:after="0" w:line="240" w:lineRule="auto"/>
        <w:jc w:val="both"/>
        <w:rPr>
          <w:rFonts w:ascii="Arial" w:hAnsi="Arial" w:cs="Arial"/>
        </w:rPr>
      </w:pPr>
      <w:r w:rsidRPr="00BC757F">
        <w:rPr>
          <w:rFonts w:ascii="Arial" w:hAnsi="Arial" w:cs="Arial"/>
        </w:rPr>
        <w:t xml:space="preserve">The metrics </w:t>
      </w:r>
      <w:r w:rsidR="007F2131" w:rsidRPr="00BC757F">
        <w:rPr>
          <w:rFonts w:ascii="Arial" w:hAnsi="Arial" w:cs="Arial"/>
        </w:rPr>
        <w:t xml:space="preserve">collected quarterly for both theft-related property crimes and organized retail theft crimes </w:t>
      </w:r>
      <w:r w:rsidRPr="00BC757F">
        <w:rPr>
          <w:rFonts w:ascii="Arial" w:hAnsi="Arial" w:cs="Arial"/>
        </w:rPr>
        <w:t>are</w:t>
      </w:r>
      <w:r w:rsidR="00337139" w:rsidRPr="00BC757F">
        <w:rPr>
          <w:rFonts w:ascii="Arial" w:hAnsi="Arial" w:cs="Arial"/>
        </w:rPr>
        <w:t xml:space="preserve"> </w:t>
      </w:r>
      <w:r w:rsidR="006079E5">
        <w:rPr>
          <w:rFonts w:ascii="Arial" w:hAnsi="Arial" w:cs="Arial"/>
        </w:rPr>
        <w:t xml:space="preserve">listed below. Each is collected </w:t>
      </w:r>
      <w:proofErr w:type="gramStart"/>
      <w:r w:rsidR="006079E5">
        <w:rPr>
          <w:rFonts w:ascii="Arial" w:hAnsi="Arial" w:cs="Arial"/>
        </w:rPr>
        <w:t xml:space="preserve">by the use </w:t>
      </w:r>
      <w:r w:rsidR="00DA6A61">
        <w:rPr>
          <w:rFonts w:ascii="Arial" w:hAnsi="Arial" w:cs="Arial"/>
        </w:rPr>
        <w:t>of</w:t>
      </w:r>
      <w:proofErr w:type="gramEnd"/>
      <w:r w:rsidR="006079E5">
        <w:rPr>
          <w:rFonts w:ascii="Arial" w:hAnsi="Arial" w:cs="Arial"/>
        </w:rPr>
        <w:t xml:space="preserve"> a vertical prosecution model and any other prosecution model. The data reported are for the county and are not attributed to a specific funding source. </w:t>
      </w:r>
    </w:p>
    <w:p w14:paraId="4279E46A"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cases filed, </w:t>
      </w:r>
    </w:p>
    <w:p w14:paraId="7E053447"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within those cases, </w:t>
      </w:r>
    </w:p>
    <w:p w14:paraId="18906ADB"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count of unique people within those cases, </w:t>
      </w:r>
    </w:p>
    <w:p w14:paraId="1394568D"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charges for which a conviction was obtained, and </w:t>
      </w:r>
    </w:p>
    <w:p w14:paraId="13282764" w14:textId="77777777" w:rsidR="006C5C00" w:rsidRDefault="00337139" w:rsidP="00C478D9">
      <w:pPr>
        <w:pStyle w:val="ListParagraph"/>
        <w:numPr>
          <w:ilvl w:val="0"/>
          <w:numId w:val="17"/>
        </w:numPr>
        <w:spacing w:after="0" w:line="240" w:lineRule="auto"/>
        <w:jc w:val="both"/>
        <w:rPr>
          <w:rFonts w:ascii="Arial" w:hAnsi="Arial" w:cs="Arial"/>
        </w:rPr>
      </w:pPr>
      <w:r w:rsidRPr="006C5C00">
        <w:rPr>
          <w:rFonts w:ascii="Arial" w:hAnsi="Arial" w:cs="Arial"/>
        </w:rPr>
        <w:t xml:space="preserve">number of people associated with those convictions. </w:t>
      </w:r>
    </w:p>
    <w:p w14:paraId="160935A0" w14:textId="77777777" w:rsidR="006C5C00" w:rsidRDefault="006C5C00" w:rsidP="00C478D9">
      <w:pPr>
        <w:pStyle w:val="ListParagraph"/>
        <w:spacing w:after="0" w:line="240" w:lineRule="auto"/>
        <w:ind w:left="785"/>
        <w:jc w:val="both"/>
        <w:rPr>
          <w:rFonts w:ascii="Arial" w:hAnsi="Arial" w:cs="Arial"/>
        </w:rPr>
      </w:pPr>
    </w:p>
    <w:p w14:paraId="3426673F" w14:textId="1569C723" w:rsidR="00337139" w:rsidRPr="006C5C00" w:rsidRDefault="00337139" w:rsidP="0035546B">
      <w:pPr>
        <w:spacing w:after="0" w:line="240" w:lineRule="auto"/>
        <w:jc w:val="both"/>
        <w:rPr>
          <w:rFonts w:ascii="Arial" w:hAnsi="Arial" w:cs="Arial"/>
        </w:rPr>
      </w:pPr>
      <w:r w:rsidRPr="006C5C00">
        <w:rPr>
          <w:rFonts w:ascii="Arial" w:hAnsi="Arial" w:cs="Arial"/>
        </w:rPr>
        <w:t xml:space="preserve">Theft-related property crimes are broad in nature and include </w:t>
      </w:r>
      <w:r w:rsidR="00E24893" w:rsidRPr="006C5C00">
        <w:rPr>
          <w:rFonts w:ascii="Arial" w:hAnsi="Arial" w:cs="Arial"/>
        </w:rPr>
        <w:t xml:space="preserve">a </w:t>
      </w:r>
      <w:r w:rsidRPr="006C5C00">
        <w:rPr>
          <w:rFonts w:ascii="Arial" w:hAnsi="Arial" w:cs="Arial"/>
        </w:rPr>
        <w:t xml:space="preserve">subset of organized retail theft crimes. All organized retail theft crimes are theft-related but not all theft-related crimes are considered organized retail theft. </w:t>
      </w:r>
      <w:r w:rsidR="004272B7" w:rsidRPr="006C5C00">
        <w:rPr>
          <w:rFonts w:ascii="Arial" w:hAnsi="Arial" w:cs="Arial"/>
        </w:rPr>
        <w:t>Prosecuting attorneys have the discretion to make a variety of important decisions at different stages of a case including whether to file charges, the types and number of different charges (counts) to include, which depend on the evidence available at the time of filing (or anticipated to be available at the time of trial), whether to negotiate a plea bargain, and whether to take a case to trial. Factors that influence prosecutorial discretion include the availability and strength of evidence, the interests of the victim, the cost and complexity of the prosecution, and interests of justice. Given the discretionary nature of these prosecutorial decisions, we anticipate fewer discreet “organized retail theft” (i.e., Penal Code section 490.4) convictions due to factors such as the higher burden of evidence required, the complexities involved in prosecuting organized crime, and the potential considerations of plea bargaining or prioritizing cases based on resource allocation and the broader interests of justice.</w:t>
      </w:r>
    </w:p>
    <w:p w14:paraId="1AFF69A9" w14:textId="77777777" w:rsidR="0063240C" w:rsidRPr="00C45AD9" w:rsidRDefault="0063240C" w:rsidP="00C45AD9">
      <w:pPr>
        <w:spacing w:after="0" w:line="240" w:lineRule="auto"/>
        <w:jc w:val="both"/>
        <w:rPr>
          <w:rFonts w:ascii="Arial" w:hAnsi="Arial" w:cs="Arial"/>
        </w:rPr>
      </w:pPr>
    </w:p>
    <w:p w14:paraId="267146D6" w14:textId="4BC77602" w:rsidR="00C45AD9" w:rsidRPr="00C45AD9" w:rsidRDefault="00C45AD9" w:rsidP="00C45AD9">
      <w:pPr>
        <w:spacing w:after="0" w:line="240" w:lineRule="auto"/>
        <w:jc w:val="both"/>
        <w:rPr>
          <w:rFonts w:ascii="Arial" w:hAnsi="Arial" w:cs="Arial"/>
        </w:rPr>
      </w:pPr>
      <w:r w:rsidRPr="00C45AD9">
        <w:rPr>
          <w:rFonts w:ascii="Arial" w:hAnsi="Arial" w:cs="Arial"/>
          <w:bCs/>
        </w:rPr>
        <w:t xml:space="preserve">The metrics were also collected for the year prior to grant funding and are referred to as the baseline metrics. As these baseline metrics span a full year, once four quarters of metrics are available for the grant period, it will be possible to evaluate trends pre-grant funding and for the </w:t>
      </w:r>
      <w:r w:rsidRPr="00C45AD9">
        <w:rPr>
          <w:rFonts w:ascii="Arial" w:hAnsi="Arial" w:cs="Arial"/>
          <w:bCs/>
        </w:rPr>
        <w:lastRenderedPageBreak/>
        <w:t xml:space="preserve">first year of grant funding. These trends may be influenced by both grant funding and any other state or local prosecution efforts. It is anticipated that these trends will be available in January 2025.  </w:t>
      </w:r>
    </w:p>
    <w:p w14:paraId="0C728F22" w14:textId="5F8DA6F2" w:rsidR="00C45AD9" w:rsidRDefault="00880F95" w:rsidP="00535989">
      <w:pPr>
        <w:spacing w:after="0"/>
        <w:rPr>
          <w:rFonts w:ascii="Arial" w:hAnsi="Arial" w:cs="Arial"/>
          <w:b/>
          <w:bCs/>
          <w:color w:val="19285A"/>
        </w:rPr>
      </w:pPr>
      <w:r w:rsidRPr="00CA26E6">
        <w:rPr>
          <w:noProof/>
          <w:color w:val="19285A"/>
        </w:rPr>
        <w:drawing>
          <wp:anchor distT="0" distB="0" distL="114300" distR="114300" simplePos="0" relativeHeight="251667456" behindDoc="1" locked="0" layoutInCell="1" allowOverlap="1" wp14:anchorId="2E4837D2" wp14:editId="411731F1">
            <wp:simplePos x="0" y="0"/>
            <wp:positionH relativeFrom="column">
              <wp:posOffset>3354705</wp:posOffset>
            </wp:positionH>
            <wp:positionV relativeFrom="paragraph">
              <wp:posOffset>171450</wp:posOffset>
            </wp:positionV>
            <wp:extent cx="2898775" cy="3470910"/>
            <wp:effectExtent l="0" t="0" r="0" b="0"/>
            <wp:wrapTight wrapText="bothSides">
              <wp:wrapPolygon edited="0">
                <wp:start x="0" y="0"/>
                <wp:lineTo x="0" y="21458"/>
                <wp:lineTo x="21434" y="21458"/>
                <wp:lineTo x="21434" y="0"/>
                <wp:lineTo x="0" y="0"/>
              </wp:wrapPolygon>
            </wp:wrapTight>
            <wp:docPr id="2024416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6648"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98775" cy="3470910"/>
                    </a:xfrm>
                    <a:prstGeom prst="rect">
                      <a:avLst/>
                    </a:prstGeom>
                  </pic:spPr>
                </pic:pic>
              </a:graphicData>
            </a:graphic>
            <wp14:sizeRelH relativeFrom="page">
              <wp14:pctWidth>0</wp14:pctWidth>
            </wp14:sizeRelH>
            <wp14:sizeRelV relativeFrom="page">
              <wp14:pctHeight>0</wp14:pctHeight>
            </wp14:sizeRelV>
          </wp:anchor>
        </w:drawing>
      </w:r>
    </w:p>
    <w:p w14:paraId="4527F8D7" w14:textId="3510C621" w:rsidR="00F33E7E" w:rsidRPr="00CA26E6" w:rsidRDefault="00F33E7E" w:rsidP="00535989">
      <w:pPr>
        <w:spacing w:after="0"/>
        <w:rPr>
          <w:rFonts w:ascii="Arial" w:hAnsi="Arial" w:cs="Arial"/>
          <w:b/>
          <w:bCs/>
          <w:color w:val="19285A"/>
        </w:rPr>
      </w:pPr>
      <w:r w:rsidRPr="00CA26E6">
        <w:rPr>
          <w:rFonts w:ascii="Arial" w:hAnsi="Arial" w:cs="Arial"/>
          <w:b/>
          <w:bCs/>
          <w:color w:val="19285A"/>
        </w:rPr>
        <w:t>Metrics for Theft-related Property Crimes</w:t>
      </w:r>
    </w:p>
    <w:p w14:paraId="42376053" w14:textId="1C42F588" w:rsidR="00F33E7E" w:rsidRDefault="00DB151D" w:rsidP="00C45AD9">
      <w:pPr>
        <w:spacing w:after="0" w:line="240" w:lineRule="auto"/>
        <w:jc w:val="both"/>
        <w:rPr>
          <w:rFonts w:ascii="Arial" w:hAnsi="Arial" w:cs="Arial"/>
        </w:rPr>
      </w:pPr>
      <w:r>
        <w:rPr>
          <w:rFonts w:ascii="Arial" w:hAnsi="Arial" w:cs="Arial"/>
        </w:rPr>
        <w:t>For</w:t>
      </w:r>
      <w:r w:rsidR="007E7461">
        <w:rPr>
          <w:rFonts w:ascii="Arial" w:hAnsi="Arial" w:cs="Arial"/>
        </w:rPr>
        <w:t xml:space="preserve"> theft-related property crimes</w:t>
      </w:r>
      <w:r>
        <w:rPr>
          <w:rFonts w:ascii="Arial" w:hAnsi="Arial" w:cs="Arial"/>
        </w:rPr>
        <w:t xml:space="preserve">, between </w:t>
      </w:r>
      <w:r w:rsidR="007E7461">
        <w:rPr>
          <w:rFonts w:ascii="Arial" w:hAnsi="Arial" w:cs="Arial"/>
        </w:rPr>
        <w:t xml:space="preserve">October 1, </w:t>
      </w:r>
      <w:proofErr w:type="gramStart"/>
      <w:r w:rsidR="007E7461">
        <w:rPr>
          <w:rFonts w:ascii="Arial" w:hAnsi="Arial" w:cs="Arial"/>
        </w:rPr>
        <w:t>2023</w:t>
      </w:r>
      <w:proofErr w:type="gramEnd"/>
      <w:r w:rsidR="007E7461">
        <w:rPr>
          <w:rFonts w:ascii="Arial" w:hAnsi="Arial" w:cs="Arial"/>
        </w:rPr>
        <w:t xml:space="preserve"> and December 31, 2023, grantees reported: </w:t>
      </w:r>
    </w:p>
    <w:p w14:paraId="41982E43" w14:textId="02911E03" w:rsidR="00C478D9" w:rsidRDefault="009E74F2" w:rsidP="00C45AD9">
      <w:pPr>
        <w:pStyle w:val="ListParagraph"/>
        <w:numPr>
          <w:ilvl w:val="0"/>
          <w:numId w:val="1"/>
        </w:numPr>
        <w:tabs>
          <w:tab w:val="left" w:pos="540"/>
        </w:tabs>
        <w:spacing w:after="0" w:line="240" w:lineRule="auto"/>
        <w:ind w:left="540"/>
        <w:jc w:val="both"/>
        <w:rPr>
          <w:rFonts w:ascii="Arial" w:hAnsi="Arial" w:cs="Arial"/>
        </w:rPr>
      </w:pPr>
      <w:r>
        <w:rPr>
          <w:rFonts w:ascii="Arial" w:hAnsi="Arial" w:cs="Arial"/>
        </w:rPr>
        <w:t>7,855</w:t>
      </w:r>
      <w:r w:rsidR="00A146CD">
        <w:rPr>
          <w:rFonts w:ascii="Arial" w:hAnsi="Arial" w:cs="Arial"/>
        </w:rPr>
        <w:t xml:space="preserve"> c</w:t>
      </w:r>
      <w:r w:rsidR="00BC1296">
        <w:rPr>
          <w:rFonts w:ascii="Arial" w:hAnsi="Arial" w:cs="Arial"/>
        </w:rPr>
        <w:t>ases</w:t>
      </w:r>
      <w:r w:rsidR="00A146CD">
        <w:rPr>
          <w:rFonts w:ascii="Arial" w:hAnsi="Arial" w:cs="Arial"/>
        </w:rPr>
        <w:t xml:space="preserve"> were</w:t>
      </w:r>
      <w:r w:rsidR="00BC1296">
        <w:rPr>
          <w:rFonts w:ascii="Arial" w:hAnsi="Arial" w:cs="Arial"/>
        </w:rPr>
        <w:t xml:space="preserve"> filed</w:t>
      </w:r>
      <w:r w:rsidR="003309DE">
        <w:rPr>
          <w:rFonts w:ascii="Arial" w:hAnsi="Arial" w:cs="Arial"/>
        </w:rPr>
        <w:t>,</w:t>
      </w:r>
      <w:r w:rsidR="0011775C">
        <w:rPr>
          <w:rFonts w:ascii="Arial" w:hAnsi="Arial" w:cs="Arial"/>
        </w:rPr>
        <w:t xml:space="preserve"> 1</w:t>
      </w:r>
      <w:r w:rsidR="00C478D9">
        <w:rPr>
          <w:rFonts w:ascii="Arial" w:hAnsi="Arial" w:cs="Arial"/>
        </w:rPr>
        <w:t>5</w:t>
      </w:r>
      <w:r w:rsidR="0011775C">
        <w:rPr>
          <w:rFonts w:ascii="Arial" w:hAnsi="Arial" w:cs="Arial"/>
        </w:rPr>
        <w:t xml:space="preserve"> percent (</w:t>
      </w:r>
      <w:r w:rsidR="0011775C" w:rsidRPr="00C478D9">
        <w:rPr>
          <w:rFonts w:ascii="Arial" w:hAnsi="Arial" w:cs="Arial"/>
          <w:i/>
          <w:iCs/>
        </w:rPr>
        <w:t>n</w:t>
      </w:r>
      <w:r w:rsidR="0011775C">
        <w:rPr>
          <w:rFonts w:ascii="Arial" w:hAnsi="Arial" w:cs="Arial"/>
        </w:rPr>
        <w:t xml:space="preserve"> = 1,147) </w:t>
      </w:r>
      <w:r w:rsidR="003309DE">
        <w:rPr>
          <w:rFonts w:ascii="Arial" w:hAnsi="Arial" w:cs="Arial"/>
        </w:rPr>
        <w:t>with</w:t>
      </w:r>
      <w:r w:rsidR="0011775C">
        <w:rPr>
          <w:rFonts w:ascii="Arial" w:hAnsi="Arial" w:cs="Arial"/>
        </w:rPr>
        <w:t xml:space="preserve"> a </w:t>
      </w:r>
      <w:r w:rsidR="003D0EAD">
        <w:rPr>
          <w:rFonts w:ascii="Arial" w:hAnsi="Arial" w:cs="Arial"/>
        </w:rPr>
        <w:t>vertical prosecution (VP)</w:t>
      </w:r>
      <w:r w:rsidR="0011775C">
        <w:rPr>
          <w:rFonts w:ascii="Arial" w:hAnsi="Arial" w:cs="Arial"/>
        </w:rPr>
        <w:t xml:space="preserve"> model.</w:t>
      </w:r>
      <w:r w:rsidR="0076300B">
        <w:rPr>
          <w:rFonts w:ascii="Arial" w:hAnsi="Arial" w:cs="Arial"/>
        </w:rPr>
        <w:t xml:space="preserve"> The cases included:</w:t>
      </w:r>
      <w:r w:rsidR="0011775C">
        <w:rPr>
          <w:rFonts w:ascii="Arial" w:hAnsi="Arial" w:cs="Arial"/>
        </w:rPr>
        <w:t xml:space="preserve"> </w:t>
      </w:r>
    </w:p>
    <w:p w14:paraId="3797DD0E" w14:textId="09046927" w:rsidR="00BC1296" w:rsidRDefault="009E74F2" w:rsidP="00C45AD9">
      <w:pPr>
        <w:pStyle w:val="ListParagraph"/>
        <w:numPr>
          <w:ilvl w:val="1"/>
          <w:numId w:val="1"/>
        </w:numPr>
        <w:spacing w:after="0" w:line="240" w:lineRule="auto"/>
        <w:ind w:left="1260"/>
        <w:jc w:val="both"/>
        <w:rPr>
          <w:rFonts w:ascii="Arial" w:hAnsi="Arial" w:cs="Arial"/>
        </w:rPr>
      </w:pPr>
      <w:r>
        <w:rPr>
          <w:rFonts w:ascii="Arial" w:hAnsi="Arial" w:cs="Arial"/>
        </w:rPr>
        <w:t>14,777</w:t>
      </w:r>
      <w:r w:rsidR="00A146CD">
        <w:rPr>
          <w:rFonts w:ascii="Arial" w:hAnsi="Arial" w:cs="Arial"/>
        </w:rPr>
        <w:t xml:space="preserve"> c</w:t>
      </w:r>
      <w:r w:rsidR="00BC1296">
        <w:rPr>
          <w:rFonts w:ascii="Arial" w:hAnsi="Arial" w:cs="Arial"/>
        </w:rPr>
        <w:t>harges</w:t>
      </w:r>
      <w:r w:rsidR="00A146CD">
        <w:rPr>
          <w:rFonts w:ascii="Arial" w:hAnsi="Arial" w:cs="Arial"/>
        </w:rPr>
        <w:t xml:space="preserve"> </w:t>
      </w:r>
      <w:r w:rsidR="00AE6341">
        <w:rPr>
          <w:rFonts w:ascii="Arial" w:hAnsi="Arial" w:cs="Arial"/>
        </w:rPr>
        <w:t>(counts)</w:t>
      </w:r>
      <w:r w:rsidR="003309DE">
        <w:rPr>
          <w:rFonts w:ascii="Arial" w:hAnsi="Arial" w:cs="Arial"/>
        </w:rPr>
        <w:t>,</w:t>
      </w:r>
      <w:r w:rsidR="00C478D9">
        <w:rPr>
          <w:rFonts w:ascii="Arial" w:hAnsi="Arial" w:cs="Arial"/>
        </w:rPr>
        <w:t xml:space="preserve"> 22 percent (</w:t>
      </w:r>
      <w:r w:rsidR="00C478D9" w:rsidRPr="00C478D9">
        <w:rPr>
          <w:rFonts w:ascii="Arial" w:hAnsi="Arial" w:cs="Arial"/>
          <w:i/>
          <w:iCs/>
        </w:rPr>
        <w:t>n</w:t>
      </w:r>
      <w:r w:rsidR="00C478D9">
        <w:rPr>
          <w:rFonts w:ascii="Arial" w:hAnsi="Arial" w:cs="Arial"/>
        </w:rPr>
        <w:t xml:space="preserve"> = 3,284) with a </w:t>
      </w:r>
      <w:r w:rsidR="003309DE">
        <w:rPr>
          <w:rFonts w:ascii="Arial" w:hAnsi="Arial" w:cs="Arial"/>
        </w:rPr>
        <w:t>VP</w:t>
      </w:r>
      <w:r w:rsidR="00C478D9">
        <w:rPr>
          <w:rFonts w:ascii="Arial" w:hAnsi="Arial" w:cs="Arial"/>
        </w:rPr>
        <w:t xml:space="preserve"> model. </w:t>
      </w:r>
    </w:p>
    <w:p w14:paraId="36C9338B" w14:textId="02725084" w:rsidR="00BC1296" w:rsidRDefault="009E74F2" w:rsidP="00C45AD9">
      <w:pPr>
        <w:pStyle w:val="ListParagraph"/>
        <w:numPr>
          <w:ilvl w:val="1"/>
          <w:numId w:val="1"/>
        </w:numPr>
        <w:spacing w:after="0" w:line="240" w:lineRule="auto"/>
        <w:ind w:left="1260"/>
        <w:jc w:val="both"/>
        <w:rPr>
          <w:rFonts w:ascii="Arial" w:hAnsi="Arial" w:cs="Arial"/>
        </w:rPr>
      </w:pPr>
      <w:r>
        <w:rPr>
          <w:rFonts w:ascii="Arial" w:hAnsi="Arial" w:cs="Arial"/>
        </w:rPr>
        <w:t>7,714</w:t>
      </w:r>
      <w:r w:rsidR="00A146CD">
        <w:rPr>
          <w:rFonts w:ascii="Arial" w:hAnsi="Arial" w:cs="Arial"/>
        </w:rPr>
        <w:t xml:space="preserve"> </w:t>
      </w:r>
      <w:r w:rsidR="00096E55">
        <w:rPr>
          <w:rFonts w:ascii="Arial" w:hAnsi="Arial" w:cs="Arial"/>
        </w:rPr>
        <w:t>people charged</w:t>
      </w:r>
      <w:r w:rsidR="003309DE">
        <w:rPr>
          <w:rFonts w:ascii="Arial" w:hAnsi="Arial" w:cs="Arial"/>
        </w:rPr>
        <w:t>,</w:t>
      </w:r>
      <w:r w:rsidR="00C478D9">
        <w:rPr>
          <w:rFonts w:ascii="Arial" w:hAnsi="Arial" w:cs="Arial"/>
        </w:rPr>
        <w:t xml:space="preserve"> 14 percent (</w:t>
      </w:r>
      <w:r w:rsidR="00C478D9" w:rsidRPr="00C478D9">
        <w:rPr>
          <w:rFonts w:ascii="Arial" w:hAnsi="Arial" w:cs="Arial"/>
          <w:i/>
          <w:iCs/>
        </w:rPr>
        <w:t>n</w:t>
      </w:r>
      <w:r w:rsidR="00C478D9">
        <w:rPr>
          <w:rFonts w:ascii="Arial" w:hAnsi="Arial" w:cs="Arial"/>
        </w:rPr>
        <w:t xml:space="preserve"> = 1,106) with a </w:t>
      </w:r>
      <w:r w:rsidR="003309DE">
        <w:rPr>
          <w:rFonts w:ascii="Arial" w:hAnsi="Arial" w:cs="Arial"/>
        </w:rPr>
        <w:t>VP model</w:t>
      </w:r>
      <w:r w:rsidR="00C478D9">
        <w:rPr>
          <w:rFonts w:ascii="Arial" w:hAnsi="Arial" w:cs="Arial"/>
        </w:rPr>
        <w:t xml:space="preserve">. </w:t>
      </w:r>
    </w:p>
    <w:p w14:paraId="1BC821E2" w14:textId="54357ECB" w:rsidR="00DC7777" w:rsidRPr="00DC7777" w:rsidRDefault="00424CD3" w:rsidP="00C45AD9">
      <w:pPr>
        <w:pStyle w:val="ListParagraph"/>
        <w:numPr>
          <w:ilvl w:val="0"/>
          <w:numId w:val="1"/>
        </w:numPr>
        <w:spacing w:after="0" w:line="240" w:lineRule="auto"/>
        <w:ind w:left="540"/>
        <w:jc w:val="both"/>
        <w:rPr>
          <w:rFonts w:ascii="Arial" w:hAnsi="Arial" w:cs="Arial"/>
        </w:rPr>
      </w:pPr>
      <w:r>
        <w:rPr>
          <w:rFonts w:ascii="Arial" w:hAnsi="Arial" w:cs="Arial"/>
        </w:rPr>
        <w:t xml:space="preserve">Convictions were obtained for </w:t>
      </w:r>
      <w:r w:rsidR="009E74F2">
        <w:rPr>
          <w:rFonts w:ascii="Arial" w:hAnsi="Arial" w:cs="Arial"/>
        </w:rPr>
        <w:t>4,182</w:t>
      </w:r>
      <w:r w:rsidR="00A146CD" w:rsidRPr="00197567">
        <w:rPr>
          <w:rFonts w:ascii="Arial" w:hAnsi="Arial" w:cs="Arial"/>
        </w:rPr>
        <w:t xml:space="preserve"> charges</w:t>
      </w:r>
      <w:r w:rsidR="00AE6341" w:rsidRPr="00197567">
        <w:rPr>
          <w:rFonts w:ascii="Arial" w:hAnsi="Arial" w:cs="Arial"/>
        </w:rPr>
        <w:t xml:space="preserve"> (counts)</w:t>
      </w:r>
      <w:r w:rsidR="003309DE">
        <w:rPr>
          <w:rFonts w:ascii="Arial" w:hAnsi="Arial" w:cs="Arial"/>
        </w:rPr>
        <w:t>,</w:t>
      </w:r>
      <w:r w:rsidR="0076300B">
        <w:rPr>
          <w:rFonts w:ascii="Arial" w:hAnsi="Arial" w:cs="Arial"/>
        </w:rPr>
        <w:t xml:space="preserve"> 12 percent (</w:t>
      </w:r>
      <w:r w:rsidR="0076300B" w:rsidRPr="0076300B">
        <w:rPr>
          <w:rFonts w:ascii="Arial" w:hAnsi="Arial" w:cs="Arial"/>
          <w:i/>
          <w:iCs/>
        </w:rPr>
        <w:t>n</w:t>
      </w:r>
      <w:r w:rsidR="0076300B">
        <w:rPr>
          <w:rFonts w:ascii="Arial" w:hAnsi="Arial" w:cs="Arial"/>
        </w:rPr>
        <w:t xml:space="preserve"> = 494) were prosecuted with a </w:t>
      </w:r>
      <w:r w:rsidR="003309DE">
        <w:rPr>
          <w:rFonts w:ascii="Arial" w:hAnsi="Arial" w:cs="Arial"/>
        </w:rPr>
        <w:t>VP</w:t>
      </w:r>
      <w:r w:rsidR="0076300B">
        <w:rPr>
          <w:rFonts w:ascii="Arial" w:hAnsi="Arial" w:cs="Arial"/>
        </w:rPr>
        <w:t xml:space="preserve"> model.</w:t>
      </w:r>
      <w:r w:rsidR="00DC7777" w:rsidRPr="00DC7777">
        <w:rPr>
          <w:rFonts w:ascii="Arial" w:hAnsi="Arial" w:cs="Arial"/>
        </w:rPr>
        <w:t xml:space="preserve"> </w:t>
      </w:r>
    </w:p>
    <w:p w14:paraId="0720472D" w14:textId="0147E192" w:rsidR="0011775C" w:rsidRPr="00DC7777" w:rsidRDefault="0076300B" w:rsidP="00C45AD9">
      <w:pPr>
        <w:pStyle w:val="ListParagraph"/>
        <w:numPr>
          <w:ilvl w:val="0"/>
          <w:numId w:val="1"/>
        </w:numPr>
        <w:spacing w:after="0" w:line="240" w:lineRule="auto"/>
        <w:ind w:left="540"/>
        <w:jc w:val="both"/>
        <w:rPr>
          <w:rFonts w:ascii="Arial" w:hAnsi="Arial" w:cs="Arial"/>
        </w:rPr>
      </w:pPr>
      <w:r>
        <w:rPr>
          <w:rFonts w:ascii="Arial" w:hAnsi="Arial" w:cs="Arial"/>
        </w:rPr>
        <w:t xml:space="preserve">3,242 unique people </w:t>
      </w:r>
      <w:r w:rsidR="003309DE">
        <w:rPr>
          <w:rFonts w:ascii="Arial" w:hAnsi="Arial" w:cs="Arial"/>
        </w:rPr>
        <w:t>we</w:t>
      </w:r>
      <w:r>
        <w:rPr>
          <w:rFonts w:ascii="Arial" w:hAnsi="Arial" w:cs="Arial"/>
        </w:rPr>
        <w:t>re represented across these convictions</w:t>
      </w:r>
      <w:r w:rsidR="003309DE">
        <w:rPr>
          <w:rFonts w:ascii="Arial" w:hAnsi="Arial" w:cs="Arial"/>
        </w:rPr>
        <w:t>,</w:t>
      </w:r>
      <w:r>
        <w:rPr>
          <w:rFonts w:ascii="Arial" w:hAnsi="Arial" w:cs="Arial"/>
        </w:rPr>
        <w:t xml:space="preserve"> 12 percent (</w:t>
      </w:r>
      <w:r w:rsidRPr="0076300B">
        <w:rPr>
          <w:rFonts w:ascii="Arial" w:hAnsi="Arial" w:cs="Arial"/>
          <w:i/>
          <w:iCs/>
        </w:rPr>
        <w:t>n</w:t>
      </w:r>
      <w:r>
        <w:rPr>
          <w:rFonts w:ascii="Arial" w:hAnsi="Arial" w:cs="Arial"/>
        </w:rPr>
        <w:t xml:space="preserve"> = 386) with a </w:t>
      </w:r>
      <w:r w:rsidR="003309DE">
        <w:rPr>
          <w:rFonts w:ascii="Arial" w:hAnsi="Arial" w:cs="Arial"/>
        </w:rPr>
        <w:t>VP</w:t>
      </w:r>
      <w:r>
        <w:rPr>
          <w:rFonts w:ascii="Arial" w:hAnsi="Arial" w:cs="Arial"/>
        </w:rPr>
        <w:t xml:space="preserve"> model. </w:t>
      </w:r>
    </w:p>
    <w:p w14:paraId="33AE582B" w14:textId="1E0F5C38" w:rsidR="0011775C" w:rsidRDefault="0011775C" w:rsidP="00AE6341">
      <w:pPr>
        <w:spacing w:after="0"/>
        <w:rPr>
          <w:rFonts w:ascii="Arial" w:hAnsi="Arial" w:cs="Arial"/>
          <w:b/>
          <w:bCs/>
          <w:color w:val="19285A"/>
        </w:rPr>
      </w:pPr>
      <w:bookmarkStart w:id="1" w:name="_Hlk162357756"/>
    </w:p>
    <w:p w14:paraId="4E05105C" w14:textId="3E49CD52" w:rsidR="003309DE" w:rsidRDefault="003309DE" w:rsidP="00AE6341">
      <w:pPr>
        <w:spacing w:after="0"/>
        <w:rPr>
          <w:rFonts w:ascii="Arial" w:hAnsi="Arial" w:cs="Arial"/>
          <w:b/>
          <w:bCs/>
          <w:color w:val="19285A"/>
        </w:rPr>
      </w:pPr>
    </w:p>
    <w:p w14:paraId="77F6F11B" w14:textId="33499425" w:rsidR="003309DE" w:rsidRDefault="003309DE" w:rsidP="00AE6341">
      <w:pPr>
        <w:spacing w:after="0"/>
        <w:rPr>
          <w:rFonts w:ascii="Arial" w:hAnsi="Arial" w:cs="Arial"/>
          <w:b/>
          <w:bCs/>
          <w:color w:val="19285A"/>
        </w:rPr>
      </w:pPr>
      <w:r w:rsidRPr="00197567">
        <w:rPr>
          <w:noProof/>
        </w:rPr>
        <mc:AlternateContent>
          <mc:Choice Requires="wps">
            <w:drawing>
              <wp:anchor distT="0" distB="0" distL="114300" distR="114300" simplePos="0" relativeHeight="251669504" behindDoc="0" locked="0" layoutInCell="1" allowOverlap="1" wp14:anchorId="4ECAD8A0" wp14:editId="5077891D">
                <wp:simplePos x="0" y="0"/>
                <wp:positionH relativeFrom="margin">
                  <wp:posOffset>3496310</wp:posOffset>
                </wp:positionH>
                <wp:positionV relativeFrom="paragraph">
                  <wp:posOffset>50165</wp:posOffset>
                </wp:positionV>
                <wp:extent cx="2670175" cy="271780"/>
                <wp:effectExtent l="0" t="0" r="0" b="0"/>
                <wp:wrapSquare wrapText="bothSides"/>
                <wp:docPr id="391061767"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3A6939C5" w14:textId="0BDD9D26" w:rsidR="00AE6341" w:rsidRPr="00710194" w:rsidRDefault="00AE6341" w:rsidP="00AE6341">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sidRPr="00710194">
                              <w:rPr>
                                <w:rFonts w:ascii="Arial" w:hAnsi="Arial" w:cs="Arial"/>
                                <w:color w:val="0F4761" w:themeColor="accent1" w:themeShade="BF"/>
                                <w:sz w:val="20"/>
                                <w:szCs w:val="20"/>
                              </w:rPr>
                              <w:fldChar w:fldCharType="begin"/>
                            </w:r>
                            <w:r w:rsidRPr="00710194">
                              <w:rPr>
                                <w:rFonts w:ascii="Arial" w:hAnsi="Arial" w:cs="Arial"/>
                                <w:color w:val="0F4761" w:themeColor="accent1" w:themeShade="BF"/>
                                <w:sz w:val="20"/>
                                <w:szCs w:val="20"/>
                              </w:rPr>
                              <w:instrText xml:space="preserve"> SEQ Figure \* ARABIC </w:instrText>
                            </w:r>
                            <w:r w:rsidRPr="00710194">
                              <w:rPr>
                                <w:rFonts w:ascii="Arial" w:hAnsi="Arial" w:cs="Arial"/>
                                <w:color w:val="0F4761" w:themeColor="accent1" w:themeShade="BF"/>
                                <w:sz w:val="20"/>
                                <w:szCs w:val="20"/>
                              </w:rPr>
                              <w:fldChar w:fldCharType="separate"/>
                            </w:r>
                            <w:r w:rsidRPr="00710194">
                              <w:rPr>
                                <w:rFonts w:ascii="Arial" w:hAnsi="Arial" w:cs="Arial"/>
                                <w:noProof/>
                                <w:color w:val="0F4761" w:themeColor="accent1" w:themeShade="BF"/>
                                <w:sz w:val="20"/>
                                <w:szCs w:val="20"/>
                              </w:rPr>
                              <w:t>2</w:t>
                            </w:r>
                            <w:r w:rsidRPr="00710194">
                              <w:rPr>
                                <w:rFonts w:ascii="Arial" w:hAnsi="Arial" w:cs="Arial"/>
                                <w:color w:val="0F4761" w:themeColor="accent1" w:themeShade="BF"/>
                                <w:sz w:val="20"/>
                                <w:szCs w:val="20"/>
                              </w:rPr>
                              <w:fldChar w:fldCharType="end"/>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Theft-related </w:t>
                            </w:r>
                            <w:r w:rsidR="0076300B">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roperty </w:t>
                            </w:r>
                            <w:r w:rsidR="0076300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76300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76300B">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AD8A0" id="_x0000_t202" coordsize="21600,21600" o:spt="202" path="m,l,21600r21600,l21600,xe">
                <v:stroke joinstyle="miter"/>
                <v:path gradientshapeok="t" o:connecttype="rect"/>
              </v:shapetype>
              <v:shape id="Text Box 1" o:spid="_x0000_s1026" type="#_x0000_t202" style="position:absolute;margin-left:275.3pt;margin-top:3.95pt;width:210.25pt;height:2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h2GgIAADsEAAAOAAAAZHJzL2Uyb0RvYy54bWysU8Fu2zAMvQ/YPwi6L04CrCmMOEWWIsOA&#10;oC3QFj0rshQbkEWNUmJnXz9KtpOt22nYRaZFiuR7fFzedY1hJ4W+Blvw2WTKmbISytoeCv76sv10&#10;y5kPwpbCgFUFPyvP71YfPyxbl6s5VGBKhYySWJ+3ruBVCC7PMi8r1Qg/AacsOTVgIwL94iErUbSU&#10;vTHZfDq9yVrA0iFI5T3d3vdOvkr5tVYyPGrtVWCm4NRbSCemcx/PbLUU+QGFq2o5tCH+oYtG1JaK&#10;XlLdiyDYEes/UjW1RPCgw0RCk4HWtVQJA6GZTd+hea6EUwkLkePdhSb//9LKh9Oze0IWui/Q0QAj&#10;Ia3zuafLiKfT2MQvdcrITxSeL7SpLjBJl/ObxXS2+MyZJN98MVvcJl6z62uHPnxV0LBoFBxpLIkt&#10;cdr5QBUpdAyJxTyYutzWxsSf6NgYZCdBI2yrOqjYI734LcrYGGshvurd8Sa7QolW6PbdgG8P5Zlg&#10;I/SK8E5uayq0Ez48CSQJEFKSdXikQxtoCw6DxVkF+ONv9zGeJkNezlqSVMH996NAxZn5ZmlmUX+j&#10;gaOxHw17bDZAEGe0ME4mkx5gMKOpEZo3Uvs6ViGXsJJqFTyM5ib0wqZtkWq9TkGkMifCzj47GVOP&#10;hL50bwLdMI5Ag3yAUWwifzeVPrand30MoOs0skhoz+LAMyk0zWXYprgCv/6nqOvOr34CAAD//wMA&#10;UEsDBBQABgAIAAAAIQAuWnLf3gAAAAgBAAAPAAAAZHJzL2Rvd25yZXYueG1sTI/BTsMwEETvSPyD&#10;tUhcELVTqQlN41TQwg0OLVXPbrxNIuJ1ZDtN+veYEz2u3mjmbbGeTMcu6HxrSUIyE8CQKqtbqiUc&#10;vj+eX4D5oEirzhJKuKKHdXl/V6hc25F2eNmHmsUS8rmS0ITQ55z7qkGj/Mz2SJGdrTMqxNPVXDs1&#10;xnLT8bkQKTeqpbjQqB43DVY/+8FISLduGHe0edoe3j/VV1/Pj2/Xo5SPD9PrCljAKfyH4U8/qkMZ&#10;nU52IO1ZJ2GxEGmMSsiWwCJfZkkC7BSByICXBb99oPwFAAD//wMAUEsBAi0AFAAGAAgAAAAhALaD&#10;OJL+AAAA4QEAABMAAAAAAAAAAAAAAAAAAAAAAFtDb250ZW50X1R5cGVzXS54bWxQSwECLQAUAAYA&#10;CAAAACEAOP0h/9YAAACUAQAACwAAAAAAAAAAAAAAAAAvAQAAX3JlbHMvLnJlbHNQSwECLQAUAAYA&#10;CAAAACEAt074dhoCAAA7BAAADgAAAAAAAAAAAAAAAAAuAgAAZHJzL2Uyb0RvYy54bWxQSwECLQAU&#10;AAYACAAAACEALlpy394AAAAIAQAADwAAAAAAAAAAAAAAAAB0BAAAZHJzL2Rvd25yZXYueG1sUEsF&#10;BgAAAAAEAAQA8wAAAH8FAAAAAA==&#10;" stroked="f">
                <v:textbox inset="0,0,0,0">
                  <w:txbxContent>
                    <w:p w14:paraId="3A6939C5" w14:textId="0BDD9D26" w:rsidR="00AE6341" w:rsidRPr="00710194" w:rsidRDefault="00AE6341" w:rsidP="00AE6341">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sidRPr="00710194">
                        <w:rPr>
                          <w:rFonts w:ascii="Arial" w:hAnsi="Arial" w:cs="Arial"/>
                          <w:color w:val="0F4761" w:themeColor="accent1" w:themeShade="BF"/>
                          <w:sz w:val="20"/>
                          <w:szCs w:val="20"/>
                        </w:rPr>
                        <w:fldChar w:fldCharType="begin"/>
                      </w:r>
                      <w:r w:rsidRPr="00710194">
                        <w:rPr>
                          <w:rFonts w:ascii="Arial" w:hAnsi="Arial" w:cs="Arial"/>
                          <w:color w:val="0F4761" w:themeColor="accent1" w:themeShade="BF"/>
                          <w:sz w:val="20"/>
                          <w:szCs w:val="20"/>
                        </w:rPr>
                        <w:instrText xml:space="preserve"> SEQ Figure \* ARABIC </w:instrText>
                      </w:r>
                      <w:r w:rsidRPr="00710194">
                        <w:rPr>
                          <w:rFonts w:ascii="Arial" w:hAnsi="Arial" w:cs="Arial"/>
                          <w:color w:val="0F4761" w:themeColor="accent1" w:themeShade="BF"/>
                          <w:sz w:val="20"/>
                          <w:szCs w:val="20"/>
                        </w:rPr>
                        <w:fldChar w:fldCharType="separate"/>
                      </w:r>
                      <w:r w:rsidRPr="00710194">
                        <w:rPr>
                          <w:rFonts w:ascii="Arial" w:hAnsi="Arial" w:cs="Arial"/>
                          <w:noProof/>
                          <w:color w:val="0F4761" w:themeColor="accent1" w:themeShade="BF"/>
                          <w:sz w:val="20"/>
                          <w:szCs w:val="20"/>
                        </w:rPr>
                        <w:t>2</w:t>
                      </w:r>
                      <w:r w:rsidRPr="00710194">
                        <w:rPr>
                          <w:rFonts w:ascii="Arial" w:hAnsi="Arial" w:cs="Arial"/>
                          <w:color w:val="0F4761" w:themeColor="accent1" w:themeShade="BF"/>
                          <w:sz w:val="20"/>
                          <w:szCs w:val="20"/>
                        </w:rPr>
                        <w:fldChar w:fldCharType="end"/>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Theft-related </w:t>
                      </w:r>
                      <w:r w:rsidR="0076300B">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roperty </w:t>
                      </w:r>
                      <w:r w:rsidR="0076300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76300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76300B">
                        <w:rPr>
                          <w:rFonts w:ascii="Arial" w:hAnsi="Arial" w:cs="Arial"/>
                          <w:color w:val="0F4761" w:themeColor="accent1" w:themeShade="BF"/>
                          <w:sz w:val="20"/>
                          <w:szCs w:val="20"/>
                        </w:rPr>
                        <w:t>.</w:t>
                      </w:r>
                    </w:p>
                  </w:txbxContent>
                </v:textbox>
                <w10:wrap type="square" anchorx="margin"/>
              </v:shape>
            </w:pict>
          </mc:Fallback>
        </mc:AlternateContent>
      </w:r>
    </w:p>
    <w:p w14:paraId="42C7DB92" w14:textId="4450A552" w:rsidR="00F33E7E" w:rsidRDefault="00F33E7E" w:rsidP="00AE6341">
      <w:pPr>
        <w:spacing w:after="0"/>
        <w:rPr>
          <w:rFonts w:ascii="Arial" w:hAnsi="Arial" w:cs="Arial"/>
          <w:b/>
          <w:bCs/>
          <w:color w:val="19285A"/>
        </w:rPr>
      </w:pPr>
      <w:r w:rsidRPr="00CA26E6">
        <w:rPr>
          <w:rFonts w:ascii="Arial" w:hAnsi="Arial" w:cs="Arial"/>
          <w:b/>
          <w:bCs/>
          <w:color w:val="19285A"/>
        </w:rPr>
        <w:t>Metrics for Organized Retail Theft Crimes</w:t>
      </w:r>
    </w:p>
    <w:bookmarkEnd w:id="1"/>
    <w:p w14:paraId="3027C443" w14:textId="1876A40F" w:rsidR="007F1870" w:rsidRDefault="00424CD3" w:rsidP="00C45AD9">
      <w:pPr>
        <w:spacing w:after="0" w:line="240" w:lineRule="auto"/>
        <w:jc w:val="both"/>
        <w:rPr>
          <w:rFonts w:ascii="Arial" w:hAnsi="Arial" w:cs="Arial"/>
        </w:rPr>
      </w:pPr>
      <w:r>
        <w:rPr>
          <w:noProof/>
        </w:rPr>
        <w:drawing>
          <wp:anchor distT="0" distB="0" distL="114300" distR="114300" simplePos="0" relativeHeight="251663360" behindDoc="1" locked="0" layoutInCell="1" allowOverlap="1" wp14:anchorId="5D86B3C5" wp14:editId="6CC35147">
            <wp:simplePos x="0" y="0"/>
            <wp:positionH relativeFrom="margin">
              <wp:posOffset>68580</wp:posOffset>
            </wp:positionH>
            <wp:positionV relativeFrom="paragraph">
              <wp:posOffset>22225</wp:posOffset>
            </wp:positionV>
            <wp:extent cx="3048000" cy="3686175"/>
            <wp:effectExtent l="0" t="0" r="0" b="9525"/>
            <wp:wrapTight wrapText="bothSides">
              <wp:wrapPolygon edited="0">
                <wp:start x="0" y="0"/>
                <wp:lineTo x="0" y="21544"/>
                <wp:lineTo x="21465" y="21544"/>
                <wp:lineTo x="21465" y="0"/>
                <wp:lineTo x="0" y="0"/>
              </wp:wrapPolygon>
            </wp:wrapTight>
            <wp:docPr id="67839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99455"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48000" cy="3686175"/>
                    </a:xfrm>
                    <a:prstGeom prst="rect">
                      <a:avLst/>
                    </a:prstGeom>
                  </pic:spPr>
                </pic:pic>
              </a:graphicData>
            </a:graphic>
            <wp14:sizeRelH relativeFrom="page">
              <wp14:pctWidth>0</wp14:pctWidth>
            </wp14:sizeRelH>
            <wp14:sizeRelV relativeFrom="page">
              <wp14:pctHeight>0</wp14:pctHeight>
            </wp14:sizeRelV>
          </wp:anchor>
        </w:drawing>
      </w:r>
      <w:r w:rsidR="00DB151D">
        <w:rPr>
          <w:rFonts w:ascii="Arial" w:hAnsi="Arial" w:cs="Arial"/>
        </w:rPr>
        <w:t>For</w:t>
      </w:r>
      <w:r w:rsidR="007F1870">
        <w:rPr>
          <w:rFonts w:ascii="Arial" w:hAnsi="Arial" w:cs="Arial"/>
        </w:rPr>
        <w:t xml:space="preserve"> organized retail theft crimes</w:t>
      </w:r>
      <w:r w:rsidR="00DB151D">
        <w:rPr>
          <w:rFonts w:ascii="Arial" w:hAnsi="Arial" w:cs="Arial"/>
        </w:rPr>
        <w:t xml:space="preserve">, </w:t>
      </w:r>
      <w:r w:rsidR="00160C24">
        <w:rPr>
          <w:rFonts w:ascii="Arial" w:hAnsi="Arial" w:cs="Arial"/>
        </w:rPr>
        <w:t>b</w:t>
      </w:r>
      <w:r w:rsidR="007F1870">
        <w:rPr>
          <w:rFonts w:ascii="Arial" w:hAnsi="Arial" w:cs="Arial"/>
        </w:rPr>
        <w:t xml:space="preserve">etween October 1, </w:t>
      </w:r>
      <w:proofErr w:type="gramStart"/>
      <w:r w:rsidR="007F1870">
        <w:rPr>
          <w:rFonts w:ascii="Arial" w:hAnsi="Arial" w:cs="Arial"/>
        </w:rPr>
        <w:t>2023</w:t>
      </w:r>
      <w:proofErr w:type="gramEnd"/>
      <w:r w:rsidR="007F1870">
        <w:rPr>
          <w:rFonts w:ascii="Arial" w:hAnsi="Arial" w:cs="Arial"/>
        </w:rPr>
        <w:t xml:space="preserve"> and December 31, 2023, grantees reported: </w:t>
      </w:r>
    </w:p>
    <w:p w14:paraId="39F669F7" w14:textId="2B866F3F" w:rsidR="00A146CD" w:rsidRDefault="009E74F2" w:rsidP="00C45AD9">
      <w:pPr>
        <w:pStyle w:val="ListParagraph"/>
        <w:numPr>
          <w:ilvl w:val="0"/>
          <w:numId w:val="1"/>
        </w:numPr>
        <w:spacing w:after="0" w:line="240" w:lineRule="auto"/>
        <w:ind w:left="5400"/>
        <w:jc w:val="both"/>
        <w:rPr>
          <w:rFonts w:ascii="Arial" w:hAnsi="Arial" w:cs="Arial"/>
        </w:rPr>
      </w:pPr>
      <w:r>
        <w:rPr>
          <w:rFonts w:ascii="Arial" w:hAnsi="Arial" w:cs="Arial"/>
        </w:rPr>
        <w:t xml:space="preserve">580 </w:t>
      </w:r>
      <w:r w:rsidR="00A146CD">
        <w:rPr>
          <w:rFonts w:ascii="Arial" w:hAnsi="Arial" w:cs="Arial"/>
        </w:rPr>
        <w:t>cases were filed</w:t>
      </w:r>
      <w:r w:rsidR="003309DE">
        <w:rPr>
          <w:rFonts w:ascii="Arial" w:hAnsi="Arial" w:cs="Arial"/>
        </w:rPr>
        <w:t>, 19 percent (</w:t>
      </w:r>
      <w:r w:rsidR="003309DE" w:rsidRPr="003309DE">
        <w:rPr>
          <w:rFonts w:ascii="Arial" w:hAnsi="Arial" w:cs="Arial"/>
          <w:i/>
          <w:iCs/>
        </w:rPr>
        <w:t>n</w:t>
      </w:r>
      <w:r w:rsidR="003309DE">
        <w:rPr>
          <w:rFonts w:ascii="Arial" w:hAnsi="Arial" w:cs="Arial"/>
        </w:rPr>
        <w:t xml:space="preserve"> = 108) with a VP model. The cases </w:t>
      </w:r>
      <w:r w:rsidR="00424CD3">
        <w:rPr>
          <w:rFonts w:ascii="Arial" w:hAnsi="Arial" w:cs="Arial"/>
        </w:rPr>
        <w:t>included:</w:t>
      </w:r>
    </w:p>
    <w:p w14:paraId="3D4C0C50" w14:textId="057ABEC9" w:rsidR="00A146CD" w:rsidRDefault="00A146CD" w:rsidP="00C45AD9">
      <w:pPr>
        <w:pStyle w:val="ListParagraph"/>
        <w:numPr>
          <w:ilvl w:val="1"/>
          <w:numId w:val="1"/>
        </w:numPr>
        <w:spacing w:after="0" w:line="240" w:lineRule="auto"/>
        <w:ind w:left="6120"/>
        <w:jc w:val="both"/>
        <w:rPr>
          <w:rFonts w:ascii="Arial" w:hAnsi="Arial" w:cs="Arial"/>
        </w:rPr>
      </w:pPr>
      <w:r>
        <w:rPr>
          <w:rFonts w:ascii="Arial" w:hAnsi="Arial" w:cs="Arial"/>
        </w:rPr>
        <w:t>1,</w:t>
      </w:r>
      <w:r w:rsidR="009E74F2">
        <w:rPr>
          <w:rFonts w:ascii="Arial" w:hAnsi="Arial" w:cs="Arial"/>
        </w:rPr>
        <w:t>848</w:t>
      </w:r>
      <w:r>
        <w:rPr>
          <w:rFonts w:ascii="Arial" w:hAnsi="Arial" w:cs="Arial"/>
        </w:rPr>
        <w:t xml:space="preserve"> charges </w:t>
      </w:r>
      <w:r w:rsidR="00424CD3">
        <w:rPr>
          <w:rFonts w:ascii="Arial" w:hAnsi="Arial" w:cs="Arial"/>
        </w:rPr>
        <w:t>(counts)</w:t>
      </w:r>
      <w:r w:rsidR="003309DE">
        <w:rPr>
          <w:rFonts w:ascii="Arial" w:hAnsi="Arial" w:cs="Arial"/>
        </w:rPr>
        <w:t>, 23 percent (</w:t>
      </w:r>
      <w:r w:rsidR="003309DE" w:rsidRPr="003309DE">
        <w:rPr>
          <w:rFonts w:ascii="Arial" w:hAnsi="Arial" w:cs="Arial"/>
          <w:i/>
          <w:iCs/>
        </w:rPr>
        <w:t>n</w:t>
      </w:r>
      <w:r w:rsidR="003309DE">
        <w:rPr>
          <w:rFonts w:ascii="Arial" w:hAnsi="Arial" w:cs="Arial"/>
        </w:rPr>
        <w:t xml:space="preserve"> = 433) with a VP model. </w:t>
      </w:r>
      <w:r w:rsidR="00424CD3">
        <w:rPr>
          <w:rFonts w:ascii="Arial" w:hAnsi="Arial" w:cs="Arial"/>
        </w:rPr>
        <w:t xml:space="preserve"> </w:t>
      </w:r>
    </w:p>
    <w:p w14:paraId="499828A2" w14:textId="39BF22D8" w:rsidR="00424CD3" w:rsidRDefault="009E74F2" w:rsidP="00C45AD9">
      <w:pPr>
        <w:pStyle w:val="ListParagraph"/>
        <w:numPr>
          <w:ilvl w:val="1"/>
          <w:numId w:val="1"/>
        </w:numPr>
        <w:spacing w:after="0" w:line="240" w:lineRule="auto"/>
        <w:ind w:left="6120"/>
        <w:jc w:val="both"/>
        <w:rPr>
          <w:rFonts w:ascii="Arial" w:hAnsi="Arial" w:cs="Arial"/>
        </w:rPr>
      </w:pPr>
      <w:r>
        <w:rPr>
          <w:rFonts w:ascii="Arial" w:hAnsi="Arial" w:cs="Arial"/>
        </w:rPr>
        <w:t>713</w:t>
      </w:r>
      <w:r w:rsidR="00424CD3">
        <w:rPr>
          <w:rFonts w:ascii="Arial" w:hAnsi="Arial" w:cs="Arial"/>
        </w:rPr>
        <w:t xml:space="preserve"> </w:t>
      </w:r>
      <w:r>
        <w:rPr>
          <w:rFonts w:ascii="Arial" w:hAnsi="Arial" w:cs="Arial"/>
        </w:rPr>
        <w:t>people</w:t>
      </w:r>
      <w:r w:rsidR="00424CD3">
        <w:rPr>
          <w:rFonts w:ascii="Arial" w:hAnsi="Arial" w:cs="Arial"/>
        </w:rPr>
        <w:t xml:space="preserve"> were charged</w:t>
      </w:r>
      <w:r w:rsidR="003309DE">
        <w:rPr>
          <w:rFonts w:ascii="Arial" w:hAnsi="Arial" w:cs="Arial"/>
        </w:rPr>
        <w:t>, 17 percent (</w:t>
      </w:r>
      <w:r w:rsidR="003309DE" w:rsidRPr="003309DE">
        <w:rPr>
          <w:rFonts w:ascii="Arial" w:hAnsi="Arial" w:cs="Arial"/>
          <w:i/>
          <w:iCs/>
        </w:rPr>
        <w:t>n</w:t>
      </w:r>
      <w:r w:rsidR="003309DE">
        <w:rPr>
          <w:rFonts w:ascii="Arial" w:hAnsi="Arial" w:cs="Arial"/>
        </w:rPr>
        <w:t xml:space="preserve"> = 119) with a VP model. </w:t>
      </w:r>
    </w:p>
    <w:p w14:paraId="532FB424" w14:textId="7F0E78F4" w:rsidR="0037454A" w:rsidRDefault="00424CD3" w:rsidP="00C45AD9">
      <w:pPr>
        <w:pStyle w:val="ListParagraph"/>
        <w:numPr>
          <w:ilvl w:val="0"/>
          <w:numId w:val="1"/>
        </w:numPr>
        <w:spacing w:after="0" w:line="240" w:lineRule="auto"/>
        <w:ind w:left="5400"/>
        <w:jc w:val="both"/>
        <w:rPr>
          <w:rFonts w:ascii="Arial" w:hAnsi="Arial" w:cs="Arial"/>
        </w:rPr>
      </w:pPr>
      <w:r>
        <w:rPr>
          <w:rFonts w:ascii="Arial" w:hAnsi="Arial" w:cs="Arial"/>
        </w:rPr>
        <w:t>Convictions were ob</w:t>
      </w:r>
      <w:r w:rsidRPr="00F8532A">
        <w:rPr>
          <w:rFonts w:ascii="Arial" w:hAnsi="Arial" w:cs="Arial"/>
        </w:rPr>
        <w:t xml:space="preserve">tained for </w:t>
      </w:r>
      <w:r w:rsidR="009E74F2" w:rsidRPr="00F8532A">
        <w:rPr>
          <w:rFonts w:ascii="Arial" w:hAnsi="Arial" w:cs="Arial"/>
        </w:rPr>
        <w:t xml:space="preserve">189 </w:t>
      </w:r>
      <w:r w:rsidR="00A146CD" w:rsidRPr="00F8532A">
        <w:rPr>
          <w:rFonts w:ascii="Arial" w:hAnsi="Arial" w:cs="Arial"/>
        </w:rPr>
        <w:t xml:space="preserve">charges </w:t>
      </w:r>
      <w:r w:rsidRPr="00F8532A">
        <w:rPr>
          <w:rFonts w:ascii="Arial" w:hAnsi="Arial" w:cs="Arial"/>
        </w:rPr>
        <w:t>(counts)</w:t>
      </w:r>
      <w:r w:rsidR="003309DE">
        <w:rPr>
          <w:rFonts w:ascii="Arial" w:hAnsi="Arial" w:cs="Arial"/>
        </w:rPr>
        <w:t>, 14 percent (</w:t>
      </w:r>
      <w:r w:rsidR="003309DE" w:rsidRPr="003309DE">
        <w:rPr>
          <w:rFonts w:ascii="Arial" w:hAnsi="Arial" w:cs="Arial"/>
          <w:i/>
          <w:iCs/>
        </w:rPr>
        <w:t>n</w:t>
      </w:r>
      <w:r w:rsidR="003309DE">
        <w:rPr>
          <w:rFonts w:ascii="Arial" w:hAnsi="Arial" w:cs="Arial"/>
        </w:rPr>
        <w:t xml:space="preserve"> = 26) were prosecuted with a VP model. </w:t>
      </w:r>
    </w:p>
    <w:p w14:paraId="3E25CB3B" w14:textId="6CF125AC" w:rsidR="003309DE" w:rsidRDefault="003309DE" w:rsidP="00C45AD9">
      <w:pPr>
        <w:pStyle w:val="ListParagraph"/>
        <w:numPr>
          <w:ilvl w:val="0"/>
          <w:numId w:val="1"/>
        </w:numPr>
        <w:spacing w:after="0" w:line="240" w:lineRule="auto"/>
        <w:ind w:left="5400"/>
        <w:jc w:val="both"/>
        <w:rPr>
          <w:rFonts w:ascii="Arial" w:hAnsi="Arial" w:cs="Arial"/>
        </w:rPr>
      </w:pPr>
      <w:r>
        <w:rPr>
          <w:rFonts w:ascii="Arial" w:hAnsi="Arial" w:cs="Arial"/>
        </w:rPr>
        <w:t>148 unique people were represented across these convictions, 9 percent (</w:t>
      </w:r>
      <w:r w:rsidRPr="003309DE">
        <w:rPr>
          <w:rFonts w:ascii="Arial" w:hAnsi="Arial" w:cs="Arial"/>
          <w:i/>
          <w:iCs/>
        </w:rPr>
        <w:t>n</w:t>
      </w:r>
      <w:r>
        <w:rPr>
          <w:rFonts w:ascii="Arial" w:hAnsi="Arial" w:cs="Arial"/>
        </w:rPr>
        <w:t xml:space="preserve"> = 13) with a VP model. </w:t>
      </w:r>
    </w:p>
    <w:p w14:paraId="7C0DD3FE" w14:textId="77777777" w:rsidR="00DD0E84" w:rsidRPr="00533131" w:rsidRDefault="00DD0E84" w:rsidP="00533131">
      <w:pPr>
        <w:pStyle w:val="ListParagraph"/>
        <w:spacing w:after="0" w:line="240" w:lineRule="auto"/>
        <w:ind w:left="5400"/>
        <w:rPr>
          <w:rFonts w:ascii="Arial" w:hAnsi="Arial" w:cs="Arial"/>
        </w:rPr>
      </w:pPr>
    </w:p>
    <w:p w14:paraId="0E69EEBB" w14:textId="77777777" w:rsidR="00145C2D" w:rsidRDefault="00145C2D" w:rsidP="00145C2D">
      <w:pPr>
        <w:pStyle w:val="ListParagraph"/>
        <w:spacing w:after="120"/>
        <w:rPr>
          <w:rFonts w:ascii="Arial" w:hAnsi="Arial" w:cs="Arial"/>
        </w:rPr>
      </w:pPr>
    </w:p>
    <w:p w14:paraId="58B5DD87" w14:textId="77777777" w:rsidR="004525A0" w:rsidRDefault="004525A0" w:rsidP="00145C2D">
      <w:pPr>
        <w:pStyle w:val="ListParagraph"/>
        <w:spacing w:after="120"/>
        <w:rPr>
          <w:rFonts w:ascii="Arial" w:hAnsi="Arial" w:cs="Arial"/>
        </w:rPr>
      </w:pPr>
    </w:p>
    <w:p w14:paraId="2F3AE076" w14:textId="7016FF9F" w:rsidR="004525A0" w:rsidRDefault="004525A0" w:rsidP="00145C2D">
      <w:pPr>
        <w:pStyle w:val="ListParagraph"/>
        <w:spacing w:after="120"/>
        <w:rPr>
          <w:rFonts w:ascii="Arial" w:hAnsi="Arial" w:cs="Arial"/>
        </w:rPr>
      </w:pPr>
    </w:p>
    <w:p w14:paraId="376D3261" w14:textId="6C4C3384" w:rsidR="003309DE" w:rsidRPr="00C45AD9" w:rsidRDefault="00D31D7B" w:rsidP="00C45AD9">
      <w:pPr>
        <w:pStyle w:val="ListParagraph"/>
        <w:spacing w:after="120"/>
        <w:rPr>
          <w:rFonts w:ascii="Arial" w:hAnsi="Arial" w:cs="Arial"/>
        </w:rPr>
      </w:pPr>
      <w:r w:rsidRPr="00197567">
        <w:rPr>
          <w:rFonts w:ascii="Arial" w:hAnsi="Arial" w:cs="Arial"/>
          <w:noProof/>
        </w:rPr>
        <mc:AlternateContent>
          <mc:Choice Requires="wps">
            <w:drawing>
              <wp:anchor distT="0" distB="0" distL="114300" distR="114300" simplePos="0" relativeHeight="251671552" behindDoc="0" locked="0" layoutInCell="1" allowOverlap="1" wp14:anchorId="5DB85549" wp14:editId="4123C800">
                <wp:simplePos x="0" y="0"/>
                <wp:positionH relativeFrom="margin">
                  <wp:posOffset>100330</wp:posOffset>
                </wp:positionH>
                <wp:positionV relativeFrom="paragraph">
                  <wp:posOffset>263525</wp:posOffset>
                </wp:positionV>
                <wp:extent cx="2670175" cy="271780"/>
                <wp:effectExtent l="0" t="0" r="0" b="0"/>
                <wp:wrapSquare wrapText="bothSides"/>
                <wp:docPr id="390111871"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66F5D022" w14:textId="571F28F3"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D31D7B">
                              <w:rPr>
                                <w:rFonts w:ascii="Arial" w:hAnsi="Arial" w:cs="Arial"/>
                                <w:color w:val="0F4761" w:themeColor="accent1" w:themeShade="BF"/>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5549" id="_x0000_s1027" type="#_x0000_t202" style="position:absolute;left:0;text-align:left;margin-left:7.9pt;margin-top:20.75pt;width:210.25pt;height:2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V3HAIAAEIEAAAOAAAAZHJzL2Uyb0RvYy54bWysU8Fu2zAMvQ/YPwi6L04CrCmCOEWWIsOA&#10;oC3QDj0rshQLkEWNUmJnXz9KjpOu22nYRaZFiuR7fFzcdY1lR4XBgCv5ZDTmTDkJlXH7kn9/2Xy6&#10;5SxE4SphwamSn1Tgd8uPHxatn6sp1GArhYySuDBvfcnrGP28KIKsVSPCCLxy5NSAjYj0i/uiQtFS&#10;9sYW0/H4pmgBK48gVQh0e987+TLn11rJ+Kh1UJHZklNvMZ+Yz106i+VCzPcofG3kuQ3xD100wjgq&#10;ekl1L6JgBzR/pGqMRAig40hCU4DWRqqMgdBMxu/QPNfCq4yFyAn+QlP4f2nlw/HZPyGL3RfoaICJ&#10;kNaHeaDLhKfT2KQvdcrITxSeLrSpLjJJl9Ob2Xgy+8yZJN90NpndZl6L62uPIX5V0LBklBxpLJkt&#10;cdyGSBUpdAhJxQJYU22MteknOdYW2VHQCNvaRJV6pBe/RVmXYh2kV7073RRXKMmK3a5jpnoDcwfV&#10;idAj9MIIXm4M1duKEJ8EkhIIMKk7PtKhLbQlh7PFWQ3482/3KZ4GRF7OWlJWycOPg0DFmf3maHRJ&#10;hoOBg7EbDHdo1kBIJ7Q3XmaTHmC0g6kRmlcS/SpVIZdwkmqVPA7mOvb6pqWRarXKQSQ2L+LWPXuZ&#10;Ug+8vnSvAv15KpHm+QCD5sT83XD62J7l1SGCNnlyideexTPdJNQ8nvNSpU14+5+jrqu//AUAAP//&#10;AwBQSwMEFAAGAAgAAAAhABHJzHfeAAAACAEAAA8AAABkcnMvZG93bnJldi54bWxMj0FPwkAUhO8m&#10;/ofNM/FiZAstDSndEgW96QEknJfuo23svm26W1r+vc+THiczmfkm30y2FVfsfeNIwXwWgUAqnWmo&#10;UnD8en9egfBBk9GtI1RwQw+b4v4u15lxI+3xegiV4BLymVZQh9BlUvqyRqv9zHVI7F1cb3Vg2VfS&#10;9HrkctvKRRSl0uqGeKHWHW5rLL8Pg1WQ7vph3NP2aXd8+9CfXbU4vd5OSj0+TC9rEAGn8BeGX3xG&#10;h4KZzm4g40XLesnkQUEyX4JgP4nTGMRZwSqJQRa5/H+g+AEAAP//AwBQSwECLQAUAAYACAAAACEA&#10;toM4kv4AAADhAQAAEwAAAAAAAAAAAAAAAAAAAAAAW0NvbnRlbnRfVHlwZXNdLnhtbFBLAQItABQA&#10;BgAIAAAAIQA4/SH/1gAAAJQBAAALAAAAAAAAAAAAAAAAAC8BAABfcmVscy8ucmVsc1BLAQItABQA&#10;BgAIAAAAIQCRqzV3HAIAAEIEAAAOAAAAAAAAAAAAAAAAAC4CAABkcnMvZTJvRG9jLnhtbFBLAQIt&#10;ABQABgAIAAAAIQARycx33gAAAAgBAAAPAAAAAAAAAAAAAAAAAHYEAABkcnMvZG93bnJldi54bWxQ&#10;SwUGAAAAAAQABADzAAAAgQUAAAAA&#10;" stroked="f">
                <v:textbox inset="0,0,0,0">
                  <w:txbxContent>
                    <w:p w14:paraId="66F5D022" w14:textId="571F28F3"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3</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Organized </w:t>
                      </w:r>
                      <w:r w:rsidR="00D31D7B">
                        <w:rPr>
                          <w:rFonts w:ascii="Arial" w:hAnsi="Arial" w:cs="Arial"/>
                          <w:color w:val="0F4761" w:themeColor="accent1" w:themeShade="BF"/>
                          <w:sz w:val="20"/>
                          <w:szCs w:val="20"/>
                        </w:rPr>
                        <w:t>r</w:t>
                      </w:r>
                      <w:r>
                        <w:rPr>
                          <w:rFonts w:ascii="Arial" w:hAnsi="Arial" w:cs="Arial"/>
                          <w:color w:val="0F4761" w:themeColor="accent1" w:themeShade="BF"/>
                          <w:sz w:val="20"/>
                          <w:szCs w:val="20"/>
                        </w:rPr>
                        <w:t xml:space="preserve">etail </w:t>
                      </w:r>
                      <w:r w:rsidR="00D31D7B">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heft </w:t>
                      </w:r>
                      <w:r w:rsidR="00D31D7B">
                        <w:rPr>
                          <w:rFonts w:ascii="Arial" w:hAnsi="Arial" w:cs="Arial"/>
                          <w:color w:val="0F4761" w:themeColor="accent1" w:themeShade="BF"/>
                          <w:sz w:val="20"/>
                          <w:szCs w:val="20"/>
                        </w:rPr>
                        <w:t>c</w:t>
                      </w:r>
                      <w:r>
                        <w:rPr>
                          <w:rFonts w:ascii="Arial" w:hAnsi="Arial" w:cs="Arial"/>
                          <w:color w:val="0F4761" w:themeColor="accent1" w:themeShade="BF"/>
                          <w:sz w:val="20"/>
                          <w:szCs w:val="20"/>
                        </w:rPr>
                        <w:t xml:space="preserve">rime </w:t>
                      </w:r>
                      <w:r w:rsidR="00D31D7B">
                        <w:rPr>
                          <w:rFonts w:ascii="Arial" w:hAnsi="Arial" w:cs="Arial"/>
                          <w:color w:val="0F4761" w:themeColor="accent1" w:themeShade="BF"/>
                          <w:sz w:val="20"/>
                          <w:szCs w:val="20"/>
                        </w:rPr>
                        <w:t>m</w:t>
                      </w:r>
                      <w:r>
                        <w:rPr>
                          <w:rFonts w:ascii="Arial" w:hAnsi="Arial" w:cs="Arial"/>
                          <w:color w:val="0F4761" w:themeColor="accent1" w:themeShade="BF"/>
                          <w:sz w:val="20"/>
                          <w:szCs w:val="20"/>
                        </w:rPr>
                        <w:t>etrics</w:t>
                      </w:r>
                      <w:r w:rsidR="00D31D7B">
                        <w:rPr>
                          <w:rFonts w:ascii="Arial" w:hAnsi="Arial" w:cs="Arial"/>
                          <w:color w:val="0F4761" w:themeColor="accent1" w:themeShade="BF"/>
                          <w:sz w:val="20"/>
                          <w:szCs w:val="20"/>
                        </w:rPr>
                        <w:t xml:space="preserve">. </w:t>
                      </w:r>
                    </w:p>
                  </w:txbxContent>
                </v:textbox>
                <w10:wrap type="square" anchorx="margin"/>
              </v:shape>
            </w:pict>
          </mc:Fallback>
        </mc:AlternateContent>
      </w:r>
      <w:r w:rsidR="003309DE">
        <w:rPr>
          <w:rFonts w:ascii="Arial" w:hAnsi="Arial" w:cs="Arial"/>
          <w:b/>
          <w:bCs/>
          <w:color w:val="19285A"/>
        </w:rPr>
        <w:br w:type="page"/>
      </w:r>
    </w:p>
    <w:p w14:paraId="7D0F7C4C" w14:textId="70B58B4C" w:rsidR="00497E8E" w:rsidRPr="00CA26E6" w:rsidRDefault="00497E8E" w:rsidP="003309DE">
      <w:pPr>
        <w:spacing w:after="0"/>
        <w:rPr>
          <w:rFonts w:ascii="Arial" w:hAnsi="Arial" w:cs="Arial"/>
          <w:b/>
          <w:bCs/>
          <w:color w:val="19285A"/>
        </w:rPr>
      </w:pPr>
      <w:r w:rsidRPr="00CA26E6">
        <w:rPr>
          <w:rFonts w:ascii="Arial" w:hAnsi="Arial" w:cs="Arial"/>
          <w:b/>
          <w:bCs/>
          <w:color w:val="19285A"/>
        </w:rPr>
        <w:lastRenderedPageBreak/>
        <w:t>Sentence Type for People Who Received an ORT Conviction</w:t>
      </w:r>
    </w:p>
    <w:p w14:paraId="79B62A8A" w14:textId="08618BF1" w:rsidR="0037454A" w:rsidRDefault="003309DE" w:rsidP="00C45AD9">
      <w:pPr>
        <w:pStyle w:val="ListParagraph"/>
        <w:spacing w:after="120" w:line="240" w:lineRule="auto"/>
        <w:ind w:left="0"/>
        <w:jc w:val="both"/>
        <w:rPr>
          <w:rFonts w:ascii="Arial" w:hAnsi="Arial" w:cs="Arial"/>
        </w:rPr>
      </w:pPr>
      <w:r>
        <w:rPr>
          <w:noProof/>
        </w:rPr>
        <w:drawing>
          <wp:anchor distT="0" distB="0" distL="114300" distR="114300" simplePos="0" relativeHeight="251664384" behindDoc="1" locked="0" layoutInCell="1" allowOverlap="1" wp14:anchorId="26FE2E22" wp14:editId="2997FD28">
            <wp:simplePos x="0" y="0"/>
            <wp:positionH relativeFrom="column">
              <wp:posOffset>3369310</wp:posOffset>
            </wp:positionH>
            <wp:positionV relativeFrom="paragraph">
              <wp:posOffset>41910</wp:posOffset>
            </wp:positionV>
            <wp:extent cx="2814320" cy="3320415"/>
            <wp:effectExtent l="0" t="0" r="5080" b="0"/>
            <wp:wrapTight wrapText="bothSides">
              <wp:wrapPolygon edited="0">
                <wp:start x="0" y="0"/>
                <wp:lineTo x="0" y="21439"/>
                <wp:lineTo x="21493" y="21439"/>
                <wp:lineTo x="21493" y="0"/>
                <wp:lineTo x="0" y="0"/>
              </wp:wrapPolygon>
            </wp:wrapTight>
            <wp:docPr id="66115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58108"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14320" cy="3320415"/>
                    </a:xfrm>
                    <a:prstGeom prst="rect">
                      <a:avLst/>
                    </a:prstGeom>
                  </pic:spPr>
                </pic:pic>
              </a:graphicData>
            </a:graphic>
            <wp14:sizeRelH relativeFrom="margin">
              <wp14:pctWidth>0</wp14:pctWidth>
            </wp14:sizeRelH>
            <wp14:sizeRelV relativeFrom="margin">
              <wp14:pctHeight>0</wp14:pctHeight>
            </wp14:sizeRelV>
          </wp:anchor>
        </w:drawing>
      </w:r>
      <w:r w:rsidR="0037454A">
        <w:rPr>
          <w:rFonts w:ascii="Arial" w:hAnsi="Arial" w:cs="Arial"/>
        </w:rPr>
        <w:t>Of th</w:t>
      </w:r>
      <w:r w:rsidR="00497E8E">
        <w:rPr>
          <w:rFonts w:ascii="Arial" w:hAnsi="Arial" w:cs="Arial"/>
        </w:rPr>
        <w:t xml:space="preserve">e </w:t>
      </w:r>
      <w:r w:rsidR="009E74F2">
        <w:rPr>
          <w:rFonts w:ascii="Arial" w:hAnsi="Arial" w:cs="Arial"/>
        </w:rPr>
        <w:t>14</w:t>
      </w:r>
      <w:r w:rsidR="00533131">
        <w:rPr>
          <w:rFonts w:ascii="Arial" w:hAnsi="Arial" w:cs="Arial"/>
        </w:rPr>
        <w:t>8</w:t>
      </w:r>
      <w:r w:rsidR="009E74F2">
        <w:rPr>
          <w:rFonts w:ascii="Arial" w:hAnsi="Arial" w:cs="Arial"/>
        </w:rPr>
        <w:t xml:space="preserve"> </w:t>
      </w:r>
      <w:r w:rsidR="00497E8E">
        <w:rPr>
          <w:rFonts w:ascii="Arial" w:hAnsi="Arial" w:cs="Arial"/>
        </w:rPr>
        <w:t xml:space="preserve">people who were convicted on at least one ORT charge (count): </w:t>
      </w:r>
    </w:p>
    <w:p w14:paraId="72EE0C46" w14:textId="2090118F" w:rsidR="0037454A" w:rsidRDefault="00145C2D" w:rsidP="00C45AD9">
      <w:pPr>
        <w:pStyle w:val="ListParagraph"/>
        <w:numPr>
          <w:ilvl w:val="0"/>
          <w:numId w:val="1"/>
        </w:numPr>
        <w:spacing w:after="120" w:line="240" w:lineRule="auto"/>
        <w:jc w:val="both"/>
        <w:rPr>
          <w:rFonts w:ascii="Arial" w:hAnsi="Arial" w:cs="Arial"/>
        </w:rPr>
      </w:pPr>
      <w:r>
        <w:rPr>
          <w:rFonts w:ascii="Arial" w:hAnsi="Arial" w:cs="Arial"/>
        </w:rPr>
        <w:t>2</w:t>
      </w:r>
      <w:r w:rsidR="009E74F2">
        <w:rPr>
          <w:rFonts w:ascii="Arial" w:hAnsi="Arial" w:cs="Arial"/>
        </w:rPr>
        <w:t>4</w:t>
      </w:r>
      <w:r w:rsidR="007A7967">
        <w:rPr>
          <w:rFonts w:ascii="Arial" w:hAnsi="Arial" w:cs="Arial"/>
        </w:rPr>
        <w:t xml:space="preserve">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sidR="009E74F2">
        <w:rPr>
          <w:rFonts w:ascii="Arial" w:hAnsi="Arial" w:cs="Arial"/>
        </w:rPr>
        <w:t>35</w:t>
      </w:r>
      <w:r w:rsidR="0037454A">
        <w:rPr>
          <w:rFonts w:ascii="Arial" w:hAnsi="Arial" w:cs="Arial"/>
        </w:rPr>
        <w:t>) were sentenced to prison</w:t>
      </w:r>
      <w:r w:rsidR="00FB3852">
        <w:rPr>
          <w:rFonts w:ascii="Arial" w:hAnsi="Arial" w:cs="Arial"/>
        </w:rPr>
        <w:t>,</w:t>
      </w:r>
      <w:r w:rsidR="0037454A">
        <w:rPr>
          <w:rFonts w:ascii="Arial" w:hAnsi="Arial" w:cs="Arial"/>
        </w:rPr>
        <w:t xml:space="preserve"> </w:t>
      </w:r>
      <w:r w:rsidR="009B0908">
        <w:rPr>
          <w:rFonts w:ascii="Arial" w:hAnsi="Arial" w:cs="Arial"/>
        </w:rPr>
        <w:t>9 percent (</w:t>
      </w:r>
      <w:r w:rsidR="009B0908" w:rsidRPr="009B0908">
        <w:rPr>
          <w:rFonts w:ascii="Arial" w:hAnsi="Arial" w:cs="Arial"/>
          <w:i/>
          <w:iCs/>
        </w:rPr>
        <w:t>n</w:t>
      </w:r>
      <w:r w:rsidR="009B0908">
        <w:rPr>
          <w:rFonts w:ascii="Arial" w:hAnsi="Arial" w:cs="Arial"/>
        </w:rPr>
        <w:t xml:space="preserve"> = </w:t>
      </w:r>
      <w:r w:rsidR="00FB3852">
        <w:rPr>
          <w:rFonts w:ascii="Arial" w:hAnsi="Arial" w:cs="Arial"/>
        </w:rPr>
        <w:t>3</w:t>
      </w:r>
      <w:r w:rsidR="009B0908">
        <w:rPr>
          <w:rFonts w:ascii="Arial" w:hAnsi="Arial" w:cs="Arial"/>
        </w:rPr>
        <w:t>)</w:t>
      </w:r>
      <w:r w:rsidR="00FB3852">
        <w:rPr>
          <w:rFonts w:ascii="Arial" w:hAnsi="Arial" w:cs="Arial"/>
        </w:rPr>
        <w:t xml:space="preserve"> were obtained with the VP model</w:t>
      </w:r>
      <w:r w:rsidR="00497E8E">
        <w:rPr>
          <w:rFonts w:ascii="Arial" w:hAnsi="Arial" w:cs="Arial"/>
        </w:rPr>
        <w:t>.</w:t>
      </w:r>
      <w:r w:rsidR="0037454A">
        <w:rPr>
          <w:rFonts w:ascii="Arial" w:hAnsi="Arial" w:cs="Arial"/>
        </w:rPr>
        <w:t xml:space="preserve"> </w:t>
      </w:r>
    </w:p>
    <w:p w14:paraId="606FC50F" w14:textId="76F15E47" w:rsidR="0037454A" w:rsidRDefault="009E74F2" w:rsidP="00C45AD9">
      <w:pPr>
        <w:pStyle w:val="ListParagraph"/>
        <w:numPr>
          <w:ilvl w:val="0"/>
          <w:numId w:val="1"/>
        </w:numPr>
        <w:spacing w:after="120" w:line="240" w:lineRule="auto"/>
        <w:jc w:val="both"/>
        <w:rPr>
          <w:rFonts w:ascii="Arial" w:hAnsi="Arial" w:cs="Arial"/>
        </w:rPr>
      </w:pPr>
      <w:r>
        <w:rPr>
          <w:rFonts w:ascii="Arial" w:hAnsi="Arial" w:cs="Arial"/>
        </w:rPr>
        <w:t>66</w:t>
      </w:r>
      <w:r w:rsidR="007A7967">
        <w:rPr>
          <w:rFonts w:ascii="Arial" w:hAnsi="Arial" w:cs="Arial"/>
        </w:rPr>
        <w:t xml:space="preserve"> </w:t>
      </w:r>
      <w:r w:rsidR="0037454A">
        <w:rPr>
          <w:rFonts w:ascii="Arial" w:hAnsi="Arial" w:cs="Arial"/>
        </w:rPr>
        <w:t>percent (</w:t>
      </w:r>
      <w:r w:rsidR="0037454A" w:rsidRPr="0037454A">
        <w:rPr>
          <w:rFonts w:ascii="Arial" w:hAnsi="Arial" w:cs="Arial"/>
          <w:i/>
          <w:iCs/>
        </w:rPr>
        <w:t>n</w:t>
      </w:r>
      <w:r w:rsidR="0037454A">
        <w:rPr>
          <w:rFonts w:ascii="Arial" w:hAnsi="Arial" w:cs="Arial"/>
        </w:rPr>
        <w:t xml:space="preserve"> = </w:t>
      </w:r>
      <w:r>
        <w:rPr>
          <w:rFonts w:ascii="Arial" w:hAnsi="Arial" w:cs="Arial"/>
        </w:rPr>
        <w:t>96</w:t>
      </w:r>
      <w:r w:rsidR="0037454A">
        <w:rPr>
          <w:rFonts w:ascii="Arial" w:hAnsi="Arial" w:cs="Arial"/>
        </w:rPr>
        <w:t xml:space="preserve">) were sentenced to </w:t>
      </w:r>
      <w:r w:rsidR="00145C2D">
        <w:rPr>
          <w:rFonts w:ascii="Arial" w:hAnsi="Arial" w:cs="Arial"/>
        </w:rPr>
        <w:t>probation with jail</w:t>
      </w:r>
      <w:r w:rsidR="009B0908">
        <w:rPr>
          <w:rFonts w:ascii="Arial" w:hAnsi="Arial" w:cs="Arial"/>
        </w:rPr>
        <w:t>,</w:t>
      </w:r>
      <w:r w:rsidR="0037454A">
        <w:rPr>
          <w:rFonts w:ascii="Arial" w:hAnsi="Arial" w:cs="Arial"/>
        </w:rPr>
        <w:t xml:space="preserve"> </w:t>
      </w:r>
      <w:r w:rsidR="009B0908">
        <w:rPr>
          <w:rFonts w:ascii="Arial" w:hAnsi="Arial" w:cs="Arial"/>
        </w:rPr>
        <w:t>6 percent (</w:t>
      </w:r>
      <w:r w:rsidR="009B0908" w:rsidRPr="009B0908">
        <w:rPr>
          <w:rFonts w:ascii="Arial" w:hAnsi="Arial" w:cs="Arial"/>
          <w:i/>
          <w:iCs/>
        </w:rPr>
        <w:t>n</w:t>
      </w:r>
      <w:r w:rsidR="009B0908">
        <w:rPr>
          <w:rFonts w:ascii="Arial" w:hAnsi="Arial" w:cs="Arial"/>
        </w:rPr>
        <w:t xml:space="preserve"> = </w:t>
      </w:r>
      <w:r w:rsidR="00FB3852">
        <w:rPr>
          <w:rFonts w:ascii="Arial" w:hAnsi="Arial" w:cs="Arial"/>
        </w:rPr>
        <w:t>6</w:t>
      </w:r>
      <w:r w:rsidR="009B0908">
        <w:rPr>
          <w:rFonts w:ascii="Arial" w:hAnsi="Arial" w:cs="Arial"/>
        </w:rPr>
        <w:t>)</w:t>
      </w:r>
      <w:r w:rsidR="00FB3852">
        <w:rPr>
          <w:rFonts w:ascii="Arial" w:hAnsi="Arial" w:cs="Arial"/>
        </w:rPr>
        <w:t xml:space="preserve"> were obtained with the VP model.</w:t>
      </w:r>
      <w:r w:rsidR="0037454A">
        <w:rPr>
          <w:rFonts w:ascii="Arial" w:hAnsi="Arial" w:cs="Arial"/>
        </w:rPr>
        <w:t xml:space="preserve"> </w:t>
      </w:r>
    </w:p>
    <w:p w14:paraId="450DBFAE" w14:textId="3E616481" w:rsidR="00E634D5" w:rsidRDefault="00E634D5" w:rsidP="00C45AD9">
      <w:pPr>
        <w:pStyle w:val="ListParagraph"/>
        <w:numPr>
          <w:ilvl w:val="0"/>
          <w:numId w:val="1"/>
        </w:numPr>
        <w:spacing w:after="120" w:line="240" w:lineRule="auto"/>
        <w:jc w:val="both"/>
        <w:rPr>
          <w:rFonts w:ascii="Arial" w:hAnsi="Arial" w:cs="Arial"/>
        </w:rPr>
      </w:pPr>
      <w:r>
        <w:rPr>
          <w:rFonts w:ascii="Arial" w:hAnsi="Arial" w:cs="Arial"/>
        </w:rPr>
        <w:t>6</w:t>
      </w:r>
      <w:r w:rsidR="007A7967">
        <w:rPr>
          <w:rFonts w:ascii="Arial" w:hAnsi="Arial" w:cs="Arial"/>
        </w:rPr>
        <w:t xml:space="preserve"> </w:t>
      </w:r>
      <w:r w:rsidR="00145C2D">
        <w:rPr>
          <w:rFonts w:ascii="Arial" w:hAnsi="Arial" w:cs="Arial"/>
        </w:rPr>
        <w:t>percent (</w:t>
      </w:r>
      <w:r w:rsidR="00145C2D" w:rsidRPr="0037454A">
        <w:rPr>
          <w:rFonts w:ascii="Arial" w:hAnsi="Arial" w:cs="Arial"/>
          <w:i/>
          <w:iCs/>
        </w:rPr>
        <w:t>n</w:t>
      </w:r>
      <w:r w:rsidR="00145C2D">
        <w:rPr>
          <w:rFonts w:ascii="Arial" w:hAnsi="Arial" w:cs="Arial"/>
        </w:rPr>
        <w:t xml:space="preserve"> = </w:t>
      </w:r>
      <w:r w:rsidR="009E74F2">
        <w:rPr>
          <w:rFonts w:ascii="Arial" w:hAnsi="Arial" w:cs="Arial"/>
        </w:rPr>
        <w:t>9</w:t>
      </w:r>
      <w:r w:rsidR="00145C2D">
        <w:rPr>
          <w:rFonts w:ascii="Arial" w:hAnsi="Arial" w:cs="Arial"/>
        </w:rPr>
        <w:t>) were sentenced to jail</w:t>
      </w:r>
      <w:r w:rsidR="009B0908">
        <w:rPr>
          <w:rFonts w:ascii="Arial" w:hAnsi="Arial" w:cs="Arial"/>
        </w:rPr>
        <w:t>,</w:t>
      </w:r>
      <w:r w:rsidR="00145C2D">
        <w:rPr>
          <w:rFonts w:ascii="Arial" w:hAnsi="Arial" w:cs="Arial"/>
        </w:rPr>
        <w:t xml:space="preserve"> </w:t>
      </w:r>
      <w:r w:rsidR="00FB3852">
        <w:rPr>
          <w:rFonts w:ascii="Arial" w:hAnsi="Arial" w:cs="Arial"/>
        </w:rPr>
        <w:t>3</w:t>
      </w:r>
      <w:r w:rsidR="009B0908">
        <w:rPr>
          <w:rFonts w:ascii="Arial" w:hAnsi="Arial" w:cs="Arial"/>
        </w:rPr>
        <w:t>3 percent (</w:t>
      </w:r>
      <w:r w:rsidR="009B0908" w:rsidRPr="009B0908">
        <w:rPr>
          <w:rFonts w:ascii="Arial" w:hAnsi="Arial" w:cs="Arial"/>
          <w:i/>
          <w:iCs/>
        </w:rPr>
        <w:t>n</w:t>
      </w:r>
      <w:r w:rsidR="009B0908">
        <w:rPr>
          <w:rFonts w:ascii="Arial" w:hAnsi="Arial" w:cs="Arial"/>
        </w:rPr>
        <w:t xml:space="preserve"> = 3)</w:t>
      </w:r>
      <w:r w:rsidR="00FB3852">
        <w:rPr>
          <w:rFonts w:ascii="Arial" w:hAnsi="Arial" w:cs="Arial"/>
        </w:rPr>
        <w:t xml:space="preserve"> were obtained with the VP model. </w:t>
      </w:r>
    </w:p>
    <w:p w14:paraId="08591048" w14:textId="4095AA4C" w:rsidR="00E634D5" w:rsidRDefault="00E634D5" w:rsidP="00C45AD9">
      <w:pPr>
        <w:pStyle w:val="ListParagraph"/>
        <w:numPr>
          <w:ilvl w:val="0"/>
          <w:numId w:val="1"/>
        </w:numPr>
        <w:spacing w:after="120" w:line="240" w:lineRule="auto"/>
        <w:jc w:val="both"/>
        <w:rPr>
          <w:rFonts w:ascii="Arial" w:hAnsi="Arial" w:cs="Arial"/>
        </w:rPr>
      </w:pPr>
      <w:r>
        <w:rPr>
          <w:rFonts w:ascii="Arial" w:hAnsi="Arial" w:cs="Arial"/>
        </w:rPr>
        <w:t>2</w:t>
      </w:r>
      <w:r w:rsidR="007A7967">
        <w:rPr>
          <w:rFonts w:ascii="Arial" w:hAnsi="Arial" w:cs="Arial"/>
        </w:rPr>
        <w:t xml:space="preserve"> </w:t>
      </w:r>
      <w:r>
        <w:rPr>
          <w:rFonts w:ascii="Arial" w:hAnsi="Arial" w:cs="Arial"/>
        </w:rPr>
        <w:t>percent (</w:t>
      </w:r>
      <w:r>
        <w:rPr>
          <w:rFonts w:ascii="Arial" w:hAnsi="Arial" w:cs="Arial"/>
          <w:i/>
          <w:iCs/>
        </w:rPr>
        <w:t xml:space="preserve">n </w:t>
      </w:r>
      <w:r>
        <w:rPr>
          <w:rFonts w:ascii="Arial" w:hAnsi="Arial" w:cs="Arial"/>
        </w:rPr>
        <w:t>= 3) were sentenced to probation, all utilizing an alternative prosecution model.</w:t>
      </w:r>
    </w:p>
    <w:p w14:paraId="5A1FD3C9" w14:textId="2CADB0A5" w:rsidR="00145C2D" w:rsidRDefault="00E634D5" w:rsidP="00C45AD9">
      <w:pPr>
        <w:pStyle w:val="ListParagraph"/>
        <w:numPr>
          <w:ilvl w:val="0"/>
          <w:numId w:val="1"/>
        </w:numPr>
        <w:spacing w:after="0" w:line="240" w:lineRule="auto"/>
        <w:jc w:val="both"/>
        <w:rPr>
          <w:rFonts w:ascii="Arial" w:hAnsi="Arial" w:cs="Arial"/>
        </w:rPr>
      </w:pPr>
      <w:r>
        <w:rPr>
          <w:rFonts w:ascii="Arial" w:hAnsi="Arial" w:cs="Arial"/>
        </w:rPr>
        <w:t>1</w:t>
      </w:r>
      <w:r w:rsidR="007A7967">
        <w:rPr>
          <w:rFonts w:ascii="Arial" w:hAnsi="Arial" w:cs="Arial"/>
        </w:rPr>
        <w:t xml:space="preserve"> </w:t>
      </w:r>
      <w:r>
        <w:rPr>
          <w:rFonts w:ascii="Arial" w:hAnsi="Arial" w:cs="Arial"/>
        </w:rPr>
        <w:t>percent</w:t>
      </w:r>
      <w:r w:rsidR="00FB3852">
        <w:rPr>
          <w:rFonts w:ascii="Arial" w:hAnsi="Arial" w:cs="Arial"/>
        </w:rPr>
        <w:t xml:space="preserve"> (</w:t>
      </w:r>
      <w:r w:rsidR="00FB3852" w:rsidRPr="00FB3852">
        <w:rPr>
          <w:rFonts w:ascii="Arial" w:hAnsi="Arial" w:cs="Arial"/>
          <w:i/>
          <w:iCs/>
        </w:rPr>
        <w:t>n</w:t>
      </w:r>
      <w:r w:rsidR="00FB3852">
        <w:rPr>
          <w:rFonts w:ascii="Arial" w:hAnsi="Arial" w:cs="Arial"/>
        </w:rPr>
        <w:t xml:space="preserve"> = 2)</w:t>
      </w:r>
      <w:r>
        <w:rPr>
          <w:rFonts w:ascii="Arial" w:hAnsi="Arial" w:cs="Arial"/>
        </w:rPr>
        <w:t xml:space="preserve"> received an unspecified sentence utilizing an alternative prosecution model.</w:t>
      </w:r>
      <w:r w:rsidR="00497E8E">
        <w:rPr>
          <w:rFonts w:ascii="Arial" w:hAnsi="Arial" w:cs="Arial"/>
        </w:rPr>
        <w:t xml:space="preserve"> </w:t>
      </w:r>
    </w:p>
    <w:p w14:paraId="171F538F" w14:textId="39766CD3" w:rsidR="00533131" w:rsidRPr="00FB3852" w:rsidRDefault="00533131" w:rsidP="00FB3852">
      <w:pPr>
        <w:spacing w:after="0" w:line="240" w:lineRule="auto"/>
        <w:rPr>
          <w:rFonts w:ascii="Arial" w:hAnsi="Arial" w:cs="Arial"/>
        </w:rPr>
      </w:pPr>
    </w:p>
    <w:p w14:paraId="1AF83C02" w14:textId="1CFB09D5" w:rsidR="00677265" w:rsidRDefault="00677265" w:rsidP="00533131">
      <w:pPr>
        <w:pStyle w:val="ListParagraph"/>
        <w:spacing w:after="0"/>
        <w:rPr>
          <w:rFonts w:ascii="Arial" w:hAnsi="Arial" w:cs="Arial"/>
        </w:rPr>
      </w:pPr>
    </w:p>
    <w:p w14:paraId="34B70990" w14:textId="5EB96A2A" w:rsidR="00FB3852" w:rsidRPr="009B0908" w:rsidRDefault="00FB3852" w:rsidP="009B0908">
      <w:pPr>
        <w:pStyle w:val="ListParagraph"/>
        <w:spacing w:after="0"/>
        <w:rPr>
          <w:rFonts w:ascii="Arial" w:hAnsi="Arial" w:cs="Arial"/>
        </w:rPr>
      </w:pPr>
      <w:r w:rsidRPr="00197567">
        <w:rPr>
          <w:noProof/>
        </w:rPr>
        <mc:AlternateContent>
          <mc:Choice Requires="wps">
            <w:drawing>
              <wp:anchor distT="0" distB="0" distL="114300" distR="114300" simplePos="0" relativeHeight="251673600" behindDoc="0" locked="0" layoutInCell="1" allowOverlap="1" wp14:anchorId="64767A99" wp14:editId="08689B1C">
                <wp:simplePos x="0" y="0"/>
                <wp:positionH relativeFrom="margin">
                  <wp:posOffset>3578045</wp:posOffset>
                </wp:positionH>
                <wp:positionV relativeFrom="paragraph">
                  <wp:posOffset>10994</wp:posOffset>
                </wp:positionV>
                <wp:extent cx="2670175" cy="271780"/>
                <wp:effectExtent l="0" t="0" r="0" b="0"/>
                <wp:wrapSquare wrapText="bothSides"/>
                <wp:docPr id="927424022"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4CFD0662" w14:textId="0EBEA303"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7A99" id="_x0000_s1028" type="#_x0000_t202" style="position:absolute;left:0;text-align:left;margin-left:281.75pt;margin-top:.85pt;width:210.25pt;height:2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gYHgIAAEIEAAAOAAAAZHJzL2Uyb0RvYy54bWysU01vGjEQvVfqf7B8LwtIDRFiiSgRVSWU&#10;REqinI3XZi15Pe7YsEt/fcdeFtq0p6oX76xnPB/vvVncdY1lR4XBgCv5ZDTmTDkJlXH7kr++bD7d&#10;chaicJWw4FTJTyrwu+XHD4vWz9UUarCVQkZJXJi3vuR1jH5eFEHWqhFhBF45cmrARkT6xX1RoWgp&#10;e2OL6Xh8U7SAlUeQKgS6ve+dfJnza61kfNQ6qMhsyam3mE/M5y6dxXIh5nsUvjby3Ib4hy4aYRwV&#10;vaS6F1GwA5o/UjVGIgTQcSShKUBrI1WegaaZjN9N81wLr/IsBE7wF5jC/0srH47P/glZ7L5ARwQm&#10;QFof5oEu0zydxiZ9qVNGfoLwdIFNdZFJupzezMaT2WfOJPmms8nsNuNaXF97DPGrgoYlo+RItGS0&#10;xHEbIlWk0CEkFQtgTbUx1qaf5FhbZEdBFLa1iSr1SC9+i7IuxTpIr3p3uimuoyQrdruOmYqaHMbc&#10;QXWi6RF6YQQvN4bqbUWITwJJCTQwqTs+0qEttCWHs8VZDfjjb/cpnggiL2ctKavk4ftBoOLMfnNE&#10;XZLhYOBg7AbDHZo10KQT2hsvs0kPMNrB1AjNG4l+laqQSzhJtUoeB3Mde33T0ki1WuUgEpsXceue&#10;vUypB1xfujeB/sxKJD4fYNCcmL8jp4/tUV4dImiTmUu49iie4SahZnrOS5U24df/HHVd/eVPAAAA&#10;//8DAFBLAwQUAAYACAAAACEAA/+Ayt4AAAAIAQAADwAAAGRycy9kb3ducmV2LnhtbEyPQU+DQBCF&#10;7yb+h82YeDF2sQJtkaXRVm96aG16nsIKRHaW7C6F/nvHkx4n38ub7+XryXTirJ1vLSl4mEUgNJW2&#10;aqlWcPh8u1+C8AGpws6SVnDRHtbF9VWOWWVH2unzPtSCS8hnqKAJoc+k9GWjDfqZ7TUx+7LOYODT&#10;1bJyOHK56eQ8ilJpsCX+0GCvN40uv/eDUZBu3TDuaHO3Pby+40dfz48vl6NStzfT8xOIoKfwF4Zf&#10;fVaHgp1OdqDKi05Bkj4mHGWwAMF8tYx520lBHCcgi1z+H1D8AAAA//8DAFBLAQItABQABgAIAAAA&#10;IQC2gziS/gAAAOEBAAATAAAAAAAAAAAAAAAAAAAAAABbQ29udGVudF9UeXBlc10ueG1sUEsBAi0A&#10;FAAGAAgAAAAhADj9If/WAAAAlAEAAAsAAAAAAAAAAAAAAAAALwEAAF9yZWxzLy5yZWxzUEsBAi0A&#10;FAAGAAgAAAAhABJDWBgeAgAAQgQAAA4AAAAAAAAAAAAAAAAALgIAAGRycy9lMm9Eb2MueG1sUEsB&#10;Ai0AFAAGAAgAAAAhAAP/gMreAAAACAEAAA8AAAAAAAAAAAAAAAAAeAQAAGRycy9kb3ducmV2Lnht&#10;bFBLBQYAAAAABAAEAPMAAACDBQAAAAA=&#10;" stroked="f">
                <v:textbox inset="0,0,0,0">
                  <w:txbxContent>
                    <w:p w14:paraId="4CFD0662" w14:textId="0EBEA303"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4</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Sentence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FB3852">
                        <w:rPr>
                          <w:rFonts w:ascii="Arial" w:hAnsi="Arial" w:cs="Arial"/>
                          <w:color w:val="0F4761" w:themeColor="accent1" w:themeShade="BF"/>
                          <w:sz w:val="20"/>
                          <w:szCs w:val="20"/>
                        </w:rPr>
                        <w:t>.</w:t>
                      </w:r>
                    </w:p>
                  </w:txbxContent>
                </v:textbox>
                <w10:wrap type="square" anchorx="margin"/>
              </v:shape>
            </w:pict>
          </mc:Fallback>
        </mc:AlternateContent>
      </w:r>
    </w:p>
    <w:p w14:paraId="6927EFC8" w14:textId="1FEF55E8" w:rsidR="00FB3852" w:rsidRPr="00533131" w:rsidRDefault="00FB3852" w:rsidP="00533131">
      <w:pPr>
        <w:pStyle w:val="ListParagraph"/>
        <w:spacing w:after="0"/>
        <w:rPr>
          <w:rFonts w:ascii="Arial" w:hAnsi="Arial" w:cs="Arial"/>
        </w:rPr>
      </w:pPr>
    </w:p>
    <w:p w14:paraId="053B66E3" w14:textId="06829DF1" w:rsidR="00497E8E" w:rsidRPr="00CA26E6" w:rsidRDefault="00FB3852" w:rsidP="00CD4AC0">
      <w:pPr>
        <w:spacing w:after="120" w:line="240" w:lineRule="auto"/>
        <w:rPr>
          <w:rFonts w:ascii="Arial" w:hAnsi="Arial" w:cs="Arial"/>
          <w:color w:val="19285A"/>
        </w:rPr>
      </w:pPr>
      <w:r>
        <w:rPr>
          <w:noProof/>
        </w:rPr>
        <w:drawing>
          <wp:anchor distT="0" distB="0" distL="114300" distR="114300" simplePos="0" relativeHeight="251665408" behindDoc="1" locked="0" layoutInCell="1" allowOverlap="1" wp14:anchorId="6BE75689" wp14:editId="2FF9C065">
            <wp:simplePos x="0" y="0"/>
            <wp:positionH relativeFrom="column">
              <wp:posOffset>-1905</wp:posOffset>
            </wp:positionH>
            <wp:positionV relativeFrom="paragraph">
              <wp:posOffset>219075</wp:posOffset>
            </wp:positionV>
            <wp:extent cx="2421890" cy="3470910"/>
            <wp:effectExtent l="0" t="0" r="0" b="0"/>
            <wp:wrapTight wrapText="bothSides">
              <wp:wrapPolygon edited="0">
                <wp:start x="0" y="0"/>
                <wp:lineTo x="0" y="21458"/>
                <wp:lineTo x="21407" y="21458"/>
                <wp:lineTo x="21407" y="0"/>
                <wp:lineTo x="0" y="0"/>
              </wp:wrapPolygon>
            </wp:wrapTight>
            <wp:docPr id="648887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007"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421890" cy="3470910"/>
                    </a:xfrm>
                    <a:prstGeom prst="rect">
                      <a:avLst/>
                    </a:prstGeom>
                  </pic:spPr>
                </pic:pic>
              </a:graphicData>
            </a:graphic>
            <wp14:sizeRelH relativeFrom="page">
              <wp14:pctWidth>0</wp14:pctWidth>
            </wp14:sizeRelH>
            <wp14:sizeRelV relativeFrom="page">
              <wp14:pctHeight>0</wp14:pctHeight>
            </wp14:sizeRelV>
          </wp:anchor>
        </w:drawing>
      </w:r>
      <w:r w:rsidR="00497E8E" w:rsidRPr="00CA26E6">
        <w:rPr>
          <w:rFonts w:ascii="Arial" w:hAnsi="Arial" w:cs="Arial"/>
          <w:b/>
          <w:bCs/>
          <w:color w:val="19285A"/>
        </w:rPr>
        <w:t>Offense Type for People Who Received an ORT Conviction</w:t>
      </w:r>
    </w:p>
    <w:p w14:paraId="2934F677" w14:textId="75563029" w:rsidR="00497E8E" w:rsidRPr="00533131" w:rsidRDefault="00497E8E" w:rsidP="00C45AD9">
      <w:pPr>
        <w:spacing w:after="0" w:line="240" w:lineRule="auto"/>
        <w:ind w:left="360" w:hanging="360"/>
        <w:jc w:val="both"/>
        <w:rPr>
          <w:rFonts w:ascii="Arial" w:hAnsi="Arial" w:cs="Arial"/>
        </w:rPr>
      </w:pPr>
      <w:r>
        <w:rPr>
          <w:rFonts w:ascii="Arial" w:hAnsi="Arial" w:cs="Arial"/>
        </w:rPr>
        <w:t xml:space="preserve">Of the </w:t>
      </w:r>
      <w:r w:rsidR="00E634D5" w:rsidRPr="00533131">
        <w:rPr>
          <w:rFonts w:ascii="Arial" w:hAnsi="Arial" w:cs="Arial"/>
        </w:rPr>
        <w:t xml:space="preserve">148 </w:t>
      </w:r>
      <w:r w:rsidRPr="00533131">
        <w:rPr>
          <w:rFonts w:ascii="Arial" w:hAnsi="Arial" w:cs="Arial"/>
        </w:rPr>
        <w:t>people who were convicted on at least one ORT charge (count):</w:t>
      </w:r>
      <w:r w:rsidRPr="00533131">
        <w:rPr>
          <w:rStyle w:val="FootnoteReference"/>
          <w:rFonts w:ascii="Arial" w:hAnsi="Arial" w:cs="Arial"/>
        </w:rPr>
        <w:footnoteReference w:id="5"/>
      </w:r>
    </w:p>
    <w:p w14:paraId="4E146E43" w14:textId="1F5A13BD" w:rsidR="0037454A" w:rsidRPr="00533131" w:rsidRDefault="00E634D5" w:rsidP="00C45AD9">
      <w:pPr>
        <w:pStyle w:val="ListParagraph"/>
        <w:numPr>
          <w:ilvl w:val="0"/>
          <w:numId w:val="1"/>
        </w:numPr>
        <w:spacing w:after="0" w:line="240" w:lineRule="auto"/>
        <w:ind w:left="4680"/>
        <w:jc w:val="both"/>
        <w:rPr>
          <w:rFonts w:ascii="Arial" w:hAnsi="Arial" w:cs="Arial"/>
        </w:rPr>
      </w:pPr>
      <w:r w:rsidRPr="00533131">
        <w:rPr>
          <w:rFonts w:ascii="Arial" w:hAnsi="Arial" w:cs="Arial"/>
        </w:rPr>
        <w:t>72</w:t>
      </w:r>
      <w:r w:rsidR="007A7967" w:rsidRPr="00533131">
        <w:rPr>
          <w:rFonts w:ascii="Arial" w:hAnsi="Arial" w:cs="Arial"/>
        </w:rPr>
        <w:t xml:space="preserve"> </w:t>
      </w:r>
      <w:r w:rsidR="0037454A" w:rsidRPr="00533131">
        <w:rPr>
          <w:rFonts w:ascii="Arial" w:hAnsi="Arial" w:cs="Arial"/>
        </w:rPr>
        <w:t>percent (</w:t>
      </w:r>
      <w:r w:rsidR="0037454A" w:rsidRPr="00533131">
        <w:rPr>
          <w:rFonts w:ascii="Arial" w:hAnsi="Arial" w:cs="Arial"/>
          <w:i/>
          <w:iCs/>
        </w:rPr>
        <w:t>n</w:t>
      </w:r>
      <w:r w:rsidR="0037454A" w:rsidRPr="00533131">
        <w:rPr>
          <w:rFonts w:ascii="Arial" w:hAnsi="Arial" w:cs="Arial"/>
        </w:rPr>
        <w:t xml:space="preserve"> = </w:t>
      </w:r>
      <w:r w:rsidRPr="00533131">
        <w:rPr>
          <w:rFonts w:ascii="Arial" w:hAnsi="Arial" w:cs="Arial"/>
        </w:rPr>
        <w:t>107</w:t>
      </w:r>
      <w:r w:rsidR="0037454A" w:rsidRPr="00533131">
        <w:rPr>
          <w:rFonts w:ascii="Arial" w:hAnsi="Arial" w:cs="Arial"/>
        </w:rPr>
        <w:t xml:space="preserve">) were convicted of </w:t>
      </w:r>
      <w:r w:rsidR="00FB3852">
        <w:rPr>
          <w:rFonts w:ascii="Arial" w:hAnsi="Arial" w:cs="Arial"/>
        </w:rPr>
        <w:t xml:space="preserve">a </w:t>
      </w:r>
      <w:r w:rsidR="004E33A0" w:rsidRPr="00533131">
        <w:rPr>
          <w:rFonts w:ascii="Arial" w:hAnsi="Arial" w:cs="Arial"/>
        </w:rPr>
        <w:t>felony</w:t>
      </w:r>
      <w:r w:rsidR="0037454A" w:rsidRPr="00533131">
        <w:rPr>
          <w:rFonts w:ascii="Arial" w:hAnsi="Arial" w:cs="Arial"/>
        </w:rPr>
        <w:t xml:space="preserve">; </w:t>
      </w:r>
      <w:r w:rsidR="00FB3852">
        <w:rPr>
          <w:rFonts w:ascii="Arial" w:hAnsi="Arial" w:cs="Arial"/>
        </w:rPr>
        <w:t>9 percent (</w:t>
      </w:r>
      <w:r w:rsidR="00FB3852" w:rsidRPr="00FB3852">
        <w:rPr>
          <w:rFonts w:ascii="Arial" w:hAnsi="Arial" w:cs="Arial"/>
          <w:i/>
          <w:iCs/>
        </w:rPr>
        <w:t>n</w:t>
      </w:r>
      <w:r w:rsidR="00FB3852">
        <w:rPr>
          <w:rFonts w:ascii="Arial" w:hAnsi="Arial" w:cs="Arial"/>
        </w:rPr>
        <w:t xml:space="preserve"> = 10) with the VP model. </w:t>
      </w:r>
      <w:r w:rsidRPr="00533131">
        <w:rPr>
          <w:rFonts w:ascii="Arial" w:hAnsi="Arial" w:cs="Arial"/>
        </w:rPr>
        <w:t xml:space="preserve"> </w:t>
      </w:r>
    </w:p>
    <w:p w14:paraId="1344CD3E" w14:textId="53236066" w:rsidR="0037454A" w:rsidRPr="00533131" w:rsidRDefault="004E33A0" w:rsidP="00C45AD9">
      <w:pPr>
        <w:pStyle w:val="ListParagraph"/>
        <w:numPr>
          <w:ilvl w:val="0"/>
          <w:numId w:val="1"/>
        </w:numPr>
        <w:spacing w:after="0" w:line="240" w:lineRule="auto"/>
        <w:ind w:left="4680"/>
        <w:jc w:val="both"/>
        <w:rPr>
          <w:rFonts w:ascii="Arial" w:hAnsi="Arial" w:cs="Arial"/>
        </w:rPr>
      </w:pPr>
      <w:r w:rsidRPr="00533131">
        <w:rPr>
          <w:rFonts w:ascii="Arial" w:hAnsi="Arial" w:cs="Arial"/>
        </w:rPr>
        <w:t>2</w:t>
      </w:r>
      <w:r w:rsidR="007A7967" w:rsidRPr="00533131">
        <w:rPr>
          <w:rFonts w:ascii="Arial" w:hAnsi="Arial" w:cs="Arial"/>
        </w:rPr>
        <w:t xml:space="preserve">8 </w:t>
      </w:r>
      <w:r w:rsidR="0037454A" w:rsidRPr="00533131">
        <w:rPr>
          <w:rFonts w:ascii="Arial" w:hAnsi="Arial" w:cs="Arial"/>
        </w:rPr>
        <w:t>percent (</w:t>
      </w:r>
      <w:r w:rsidR="0037454A" w:rsidRPr="00533131">
        <w:rPr>
          <w:rFonts w:ascii="Arial" w:hAnsi="Arial" w:cs="Arial"/>
          <w:i/>
          <w:iCs/>
        </w:rPr>
        <w:t>n</w:t>
      </w:r>
      <w:r w:rsidR="0037454A" w:rsidRPr="00533131">
        <w:rPr>
          <w:rFonts w:ascii="Arial" w:hAnsi="Arial" w:cs="Arial"/>
        </w:rPr>
        <w:t xml:space="preserve"> = </w:t>
      </w:r>
      <w:r w:rsidR="00E634D5" w:rsidRPr="00533131">
        <w:rPr>
          <w:rFonts w:ascii="Arial" w:hAnsi="Arial" w:cs="Arial"/>
        </w:rPr>
        <w:t>41</w:t>
      </w:r>
      <w:r w:rsidR="0037454A" w:rsidRPr="00533131">
        <w:rPr>
          <w:rFonts w:ascii="Arial" w:hAnsi="Arial" w:cs="Arial"/>
        </w:rPr>
        <w:t xml:space="preserve">) were convicted of </w:t>
      </w:r>
      <w:r w:rsidR="00FB3852">
        <w:rPr>
          <w:rFonts w:ascii="Arial" w:hAnsi="Arial" w:cs="Arial"/>
        </w:rPr>
        <w:t xml:space="preserve">a </w:t>
      </w:r>
      <w:r w:rsidRPr="00533131">
        <w:rPr>
          <w:rFonts w:ascii="Arial" w:hAnsi="Arial" w:cs="Arial"/>
        </w:rPr>
        <w:t>misdemeanor</w:t>
      </w:r>
      <w:r w:rsidR="00FB3852">
        <w:rPr>
          <w:rFonts w:ascii="Arial" w:hAnsi="Arial" w:cs="Arial"/>
        </w:rPr>
        <w:t>, 7 percent (</w:t>
      </w:r>
      <w:r w:rsidR="00FB3852" w:rsidRPr="00880F95">
        <w:rPr>
          <w:rFonts w:ascii="Arial" w:hAnsi="Arial" w:cs="Arial"/>
          <w:i/>
          <w:iCs/>
        </w:rPr>
        <w:t>n</w:t>
      </w:r>
      <w:r w:rsidR="00FB3852">
        <w:rPr>
          <w:rFonts w:ascii="Arial" w:hAnsi="Arial" w:cs="Arial"/>
        </w:rPr>
        <w:t xml:space="preserve"> = 3) with the VP model. </w:t>
      </w:r>
      <w:r w:rsidR="0037454A" w:rsidRPr="00533131">
        <w:rPr>
          <w:rFonts w:ascii="Arial" w:hAnsi="Arial" w:cs="Arial"/>
        </w:rPr>
        <w:t xml:space="preserve"> </w:t>
      </w:r>
    </w:p>
    <w:p w14:paraId="6DD348D9" w14:textId="628017BB" w:rsidR="000B719C" w:rsidRDefault="000B719C" w:rsidP="00CA29BB">
      <w:pPr>
        <w:spacing w:after="120"/>
        <w:rPr>
          <w:rFonts w:ascii="Arial" w:hAnsi="Arial" w:cs="Arial"/>
        </w:rPr>
      </w:pPr>
    </w:p>
    <w:p w14:paraId="4CDB590F" w14:textId="24CB65C2" w:rsidR="00CD4AC0" w:rsidRDefault="00CD4AC0" w:rsidP="000B719C">
      <w:pPr>
        <w:spacing w:after="0"/>
        <w:jc w:val="both"/>
        <w:rPr>
          <w:rFonts w:ascii="Arial" w:hAnsi="Arial" w:cs="Arial"/>
          <w:b/>
          <w:bCs/>
          <w:color w:val="0F4761" w:themeColor="accent1" w:themeShade="BF"/>
        </w:rPr>
      </w:pPr>
    </w:p>
    <w:p w14:paraId="65E4E8F6" w14:textId="13108A30" w:rsidR="00CD4AC0" w:rsidRDefault="00CD4AC0" w:rsidP="000B719C">
      <w:pPr>
        <w:spacing w:after="0"/>
        <w:jc w:val="both"/>
        <w:rPr>
          <w:rFonts w:ascii="Arial" w:hAnsi="Arial" w:cs="Arial"/>
          <w:b/>
          <w:bCs/>
          <w:color w:val="0F4761" w:themeColor="accent1" w:themeShade="BF"/>
        </w:rPr>
      </w:pPr>
    </w:p>
    <w:p w14:paraId="22F603AE" w14:textId="1002BF99" w:rsidR="00FB3852" w:rsidRDefault="00FB3852">
      <w:pPr>
        <w:rPr>
          <w:rFonts w:ascii="Arial" w:hAnsi="Arial" w:cs="Arial"/>
          <w:b/>
          <w:bCs/>
          <w:color w:val="19285A"/>
        </w:rPr>
      </w:pPr>
      <w:r w:rsidRPr="00197567">
        <w:rPr>
          <w:rFonts w:ascii="Arial" w:hAnsi="Arial" w:cs="Arial"/>
          <w:noProof/>
        </w:rPr>
        <mc:AlternateContent>
          <mc:Choice Requires="wps">
            <w:drawing>
              <wp:anchor distT="0" distB="0" distL="114300" distR="114300" simplePos="0" relativeHeight="251675648" behindDoc="0" locked="0" layoutInCell="1" allowOverlap="1" wp14:anchorId="16B60E80" wp14:editId="2460C282">
                <wp:simplePos x="0" y="0"/>
                <wp:positionH relativeFrom="margin">
                  <wp:posOffset>-635</wp:posOffset>
                </wp:positionH>
                <wp:positionV relativeFrom="paragraph">
                  <wp:posOffset>1676050</wp:posOffset>
                </wp:positionV>
                <wp:extent cx="2670175" cy="271780"/>
                <wp:effectExtent l="0" t="0" r="0" b="0"/>
                <wp:wrapSquare wrapText="bothSides"/>
                <wp:docPr id="2118861853"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447343ED" w14:textId="7686DEE0"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FB3852">
                              <w:rPr>
                                <w:rFonts w:ascii="Arial" w:hAnsi="Arial" w:cs="Arial"/>
                                <w:color w:val="0F4761"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0E80" id="_x0000_s1029" type="#_x0000_t202" style="position:absolute;margin-left:-.05pt;margin-top:131.95pt;width:210.25pt;height: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w9HwIAAEIEAAAOAAAAZHJzL2Uyb0RvYy54bWysU8Fu2zAMvQ/YPwi6L04yrCmCOEWWIsOA&#10;oC2QDj0rshQLkEWNUmJ3Xz9KjpOt22nYRaZFiuR7fFzcdY1lJ4XBgCv5ZDTmTDkJlXGHkn973ny4&#10;5SxE4SphwamSv6rA75bv3y1aP1dTqMFWChklcWHe+pLXMfp5UQRZq0aEEXjlyKkBGxHpFw9FhaKl&#10;7I0tpuPxTdECVh5BqhDo9r538mXOr7WS8VHroCKzJafeYj4xn/t0FsuFmB9Q+NrIcxviH7pohHFU&#10;9JLqXkTBjmj+SNUYiRBAx5GEpgCtjVQZA6GZjN+g2dXCq4yFyAn+QlP4f2nlw2nnn5DF7jN0NMBE&#10;SOvDPNBlwtNpbNKXOmXkJwpfL7SpLjJJl9Ob2Xgy+8SZJN90NpndZl6L62uPIX5R0LBklBxpLJkt&#10;cdqGSBUpdAhJxQJYU22MteknOdYW2UnQCNvaRJV6pBe/RVmXYh2kV7073RRXKMmK3b5jpir5xwHm&#10;HqpXQo/QCyN4uTFUbytCfBJISiDApO74SIe20JYczhZnNeCPv92neBoQeTlrSVklD9+PAhVn9quj&#10;0SUZDgYOxn4w3LFZAyGd0N54mU16gNEOpkZoXkj0q1SFXMJJqlXyOJjr2Oublkaq1SoHkdi8iFu3&#10;8zKlHnh97l4E+vNUIs3zAQbNifmb4fSxPcurYwRt8uQSrz2LZ7pJqHk856VKm/Drf466rv7yJwAA&#10;AP//AwBQSwMEFAAGAAgAAAAhAH58upbfAAAACQEAAA8AAABkcnMvZG93bnJldi54bWxMj8FOwzAQ&#10;RO9I/IO1SFxQazetAoRsKmjhBoeWqudtbJKIeB3FTpP+PeYEx9GMZt7k68m24mx63zhGWMwVCMOl&#10;0w1XCIfPt9kDCB+INbWODcLFeFgX11c5ZdqNvDPnfahELGGfEUIdQpdJ6cvaWPJz1xmO3pfrLYUo&#10;+0rqnsZYbluZKJVKSw3HhZo6s6lN+b0fLEK67Ydxx5u77eH1nT66Kjm+XI6ItzfT8xOIYKbwF4Zf&#10;/IgORWQ6uYG1Fy3CbBGDCEm6fAQR/VWiViBOCEuV3oMscvn/QfEDAAD//wMAUEsBAi0AFAAGAAgA&#10;AAAhALaDOJL+AAAA4QEAABMAAAAAAAAAAAAAAAAAAAAAAFtDb250ZW50X1R5cGVzXS54bWxQSwEC&#10;LQAUAAYACAAAACEAOP0h/9YAAACUAQAACwAAAAAAAAAAAAAAAAAvAQAAX3JlbHMvLnJlbHNQSwEC&#10;LQAUAAYACAAAACEAk+R8PR8CAABCBAAADgAAAAAAAAAAAAAAAAAuAgAAZHJzL2Uyb0RvYy54bWxQ&#10;SwECLQAUAAYACAAAACEAfny6lt8AAAAJAQAADwAAAAAAAAAAAAAAAAB5BAAAZHJzL2Rvd25yZXYu&#10;eG1sUEsFBgAAAAAEAAQA8wAAAIUFAAAAAA==&#10;" stroked="f">
                <v:textbox inset="0,0,0,0">
                  <w:txbxContent>
                    <w:p w14:paraId="447343ED" w14:textId="7686DEE0" w:rsidR="00497E8E" w:rsidRPr="00710194" w:rsidRDefault="00497E8E" w:rsidP="00497E8E">
                      <w:pPr>
                        <w:pStyle w:val="Caption"/>
                        <w:rPr>
                          <w:rFonts w:ascii="Arial" w:hAnsi="Arial" w:cs="Arial"/>
                          <w:noProof/>
                          <w:color w:val="0F4761" w:themeColor="accent1" w:themeShade="BF"/>
                          <w:sz w:val="20"/>
                          <w:szCs w:val="20"/>
                        </w:rPr>
                      </w:pPr>
                      <w:r w:rsidRPr="00710194">
                        <w:rPr>
                          <w:rFonts w:ascii="Arial" w:hAnsi="Arial" w:cs="Arial"/>
                          <w:color w:val="0F4761" w:themeColor="accent1" w:themeShade="BF"/>
                          <w:sz w:val="20"/>
                          <w:szCs w:val="20"/>
                        </w:rPr>
                        <w:t xml:space="preserve">Figure </w:t>
                      </w:r>
                      <w:r>
                        <w:rPr>
                          <w:rFonts w:ascii="Arial" w:hAnsi="Arial" w:cs="Arial"/>
                          <w:color w:val="0F4761" w:themeColor="accent1" w:themeShade="BF"/>
                          <w:sz w:val="20"/>
                          <w:szCs w:val="20"/>
                        </w:rPr>
                        <w:t>5</w:t>
                      </w:r>
                      <w:r w:rsidRPr="00710194">
                        <w:rPr>
                          <w:rFonts w:ascii="Arial" w:hAnsi="Arial" w:cs="Arial"/>
                          <w:color w:val="0F4761" w:themeColor="accent1" w:themeShade="BF"/>
                          <w:sz w:val="20"/>
                          <w:szCs w:val="20"/>
                        </w:rPr>
                        <w:t xml:space="preserve">. </w:t>
                      </w:r>
                      <w:r>
                        <w:rPr>
                          <w:rFonts w:ascii="Arial" w:hAnsi="Arial" w:cs="Arial"/>
                          <w:color w:val="0F4761" w:themeColor="accent1" w:themeShade="BF"/>
                          <w:sz w:val="20"/>
                          <w:szCs w:val="20"/>
                        </w:rPr>
                        <w:t xml:space="preserve">Offense </w:t>
                      </w:r>
                      <w:r w:rsidR="00FB3852">
                        <w:rPr>
                          <w:rFonts w:ascii="Arial" w:hAnsi="Arial" w:cs="Arial"/>
                          <w:color w:val="0F4761" w:themeColor="accent1" w:themeShade="BF"/>
                          <w:sz w:val="20"/>
                          <w:szCs w:val="20"/>
                        </w:rPr>
                        <w:t>t</w:t>
                      </w:r>
                      <w:r>
                        <w:rPr>
                          <w:rFonts w:ascii="Arial" w:hAnsi="Arial" w:cs="Arial"/>
                          <w:color w:val="0F4761" w:themeColor="accent1" w:themeShade="BF"/>
                          <w:sz w:val="20"/>
                          <w:szCs w:val="20"/>
                        </w:rPr>
                        <w:t xml:space="preserve">ype for </w:t>
                      </w:r>
                      <w:r w:rsidR="00FB3852">
                        <w:rPr>
                          <w:rFonts w:ascii="Arial" w:hAnsi="Arial" w:cs="Arial"/>
                          <w:color w:val="0F4761" w:themeColor="accent1" w:themeShade="BF"/>
                          <w:sz w:val="20"/>
                          <w:szCs w:val="20"/>
                        </w:rPr>
                        <w:t>p</w:t>
                      </w:r>
                      <w:r>
                        <w:rPr>
                          <w:rFonts w:ascii="Arial" w:hAnsi="Arial" w:cs="Arial"/>
                          <w:color w:val="0F4761" w:themeColor="accent1" w:themeShade="BF"/>
                          <w:sz w:val="20"/>
                          <w:szCs w:val="20"/>
                        </w:rPr>
                        <w:t xml:space="preserve">eople with ORT </w:t>
                      </w:r>
                      <w:r w:rsidR="00FB3852">
                        <w:rPr>
                          <w:rFonts w:ascii="Arial" w:hAnsi="Arial" w:cs="Arial"/>
                          <w:color w:val="0F4761" w:themeColor="accent1" w:themeShade="BF"/>
                          <w:sz w:val="20"/>
                          <w:szCs w:val="20"/>
                        </w:rPr>
                        <w:t>c</w:t>
                      </w:r>
                      <w:r>
                        <w:rPr>
                          <w:rFonts w:ascii="Arial" w:hAnsi="Arial" w:cs="Arial"/>
                          <w:color w:val="0F4761" w:themeColor="accent1" w:themeShade="BF"/>
                          <w:sz w:val="20"/>
                          <w:szCs w:val="20"/>
                        </w:rPr>
                        <w:t>onvictions</w:t>
                      </w:r>
                      <w:r w:rsidR="00FB3852">
                        <w:rPr>
                          <w:rFonts w:ascii="Arial" w:hAnsi="Arial" w:cs="Arial"/>
                          <w:color w:val="0F4761" w:themeColor="accent1" w:themeShade="BF"/>
                          <w:sz w:val="20"/>
                          <w:szCs w:val="20"/>
                        </w:rPr>
                        <w:t>.</w:t>
                      </w:r>
                    </w:p>
                  </w:txbxContent>
                </v:textbox>
                <w10:wrap type="square" anchorx="margin"/>
              </v:shape>
            </w:pict>
          </mc:Fallback>
        </mc:AlternateContent>
      </w:r>
      <w:r>
        <w:rPr>
          <w:rFonts w:ascii="Arial" w:hAnsi="Arial" w:cs="Arial"/>
          <w:b/>
          <w:bCs/>
          <w:color w:val="19285A"/>
        </w:rPr>
        <w:br w:type="page"/>
      </w:r>
    </w:p>
    <w:p w14:paraId="693DFE17" w14:textId="78A93FD5" w:rsidR="000B719C" w:rsidRDefault="000B719C" w:rsidP="000B719C">
      <w:pPr>
        <w:spacing w:after="0"/>
        <w:jc w:val="both"/>
        <w:rPr>
          <w:rFonts w:ascii="Arial" w:hAnsi="Arial" w:cs="Arial"/>
          <w:b/>
          <w:bCs/>
          <w:color w:val="19285A"/>
        </w:rPr>
      </w:pPr>
      <w:r w:rsidRPr="00CA26E6">
        <w:rPr>
          <w:rFonts w:ascii="Arial" w:hAnsi="Arial" w:cs="Arial"/>
          <w:b/>
          <w:bCs/>
          <w:color w:val="19285A"/>
        </w:rPr>
        <w:lastRenderedPageBreak/>
        <w:t>Summary</w:t>
      </w:r>
    </w:p>
    <w:p w14:paraId="3716A103" w14:textId="3659AF5B" w:rsidR="008C5790" w:rsidRDefault="000B719C" w:rsidP="00C45AD9">
      <w:pPr>
        <w:spacing w:after="120" w:line="240" w:lineRule="auto"/>
        <w:jc w:val="both"/>
        <w:rPr>
          <w:rFonts w:ascii="Arial" w:hAnsi="Arial" w:cs="Arial"/>
        </w:rPr>
      </w:pPr>
      <w:r w:rsidRPr="00A121CA">
        <w:rPr>
          <w:rFonts w:ascii="Arial" w:hAnsi="Arial" w:cs="Arial"/>
        </w:rPr>
        <w:t xml:space="preserve">In the first three months of the 39-month grant service period, most grantees made substantial progress in project implementation activities including </w:t>
      </w:r>
      <w:r w:rsidR="00450246" w:rsidRPr="00A121CA">
        <w:rPr>
          <w:rFonts w:ascii="Arial" w:hAnsi="Arial" w:cs="Arial"/>
        </w:rPr>
        <w:t>building partnerships;</w:t>
      </w:r>
      <w:r w:rsidRPr="00A121CA">
        <w:rPr>
          <w:rFonts w:ascii="Arial" w:hAnsi="Arial" w:cs="Arial"/>
        </w:rPr>
        <w:t xml:space="preserve"> hiring and training of staff; </w:t>
      </w:r>
      <w:r w:rsidR="00450246" w:rsidRPr="00A121CA">
        <w:rPr>
          <w:rFonts w:ascii="Arial" w:hAnsi="Arial" w:cs="Arial"/>
        </w:rPr>
        <w:t xml:space="preserve">and </w:t>
      </w:r>
      <w:r w:rsidRPr="00A121CA">
        <w:rPr>
          <w:rFonts w:ascii="Arial" w:hAnsi="Arial" w:cs="Arial"/>
        </w:rPr>
        <w:t>developing and implementing data collection procedures</w:t>
      </w:r>
      <w:r w:rsidR="00450246" w:rsidRPr="00A121CA">
        <w:rPr>
          <w:rFonts w:ascii="Arial" w:hAnsi="Arial" w:cs="Arial"/>
        </w:rPr>
        <w:t>.</w:t>
      </w:r>
      <w:r w:rsidR="00CD4AC0" w:rsidRPr="00A121CA">
        <w:rPr>
          <w:rFonts w:ascii="Arial" w:hAnsi="Arial" w:cs="Arial"/>
        </w:rPr>
        <w:t xml:space="preserve"> Across the 13 grantees, </w:t>
      </w:r>
      <w:r w:rsidR="009B0908">
        <w:rPr>
          <w:rFonts w:ascii="Arial" w:hAnsi="Arial" w:cs="Arial"/>
        </w:rPr>
        <w:t xml:space="preserve">1,147 theft-related property crimes cases were filed using the vertical prosecution model. These cases included a total of 3,284 charges (counts) across 1,106 people. </w:t>
      </w:r>
      <w:r w:rsidR="00AC694D">
        <w:rPr>
          <w:rFonts w:ascii="Arial" w:hAnsi="Arial" w:cs="Arial"/>
        </w:rPr>
        <w:t>C</w:t>
      </w:r>
      <w:r w:rsidR="009B0908">
        <w:rPr>
          <w:rFonts w:ascii="Arial" w:hAnsi="Arial" w:cs="Arial"/>
        </w:rPr>
        <w:t xml:space="preserve">onvictions were obtained for 494 charges using the vertical prosecution model across 386 people. For organized retail theft crimes, 108 cases were filed using the vertical prosecution model. These cases included a total of 433 charges (counts) across 119 people. </w:t>
      </w:r>
      <w:r w:rsidR="00AC694D">
        <w:rPr>
          <w:rFonts w:ascii="Arial" w:hAnsi="Arial" w:cs="Arial"/>
        </w:rPr>
        <w:t>C</w:t>
      </w:r>
      <w:r w:rsidR="009B0908">
        <w:rPr>
          <w:rFonts w:ascii="Arial" w:hAnsi="Arial" w:cs="Arial"/>
        </w:rPr>
        <w:t xml:space="preserve">onvictions were obtained for 26 charges using the vertical prosecution model across 13 people. As these figures are representative of the first three months of the grant program, </w:t>
      </w:r>
      <w:r w:rsidR="00AC694D">
        <w:rPr>
          <w:rFonts w:ascii="Arial" w:hAnsi="Arial" w:cs="Arial"/>
        </w:rPr>
        <w:t>cases using the vertical prosecution model</w:t>
      </w:r>
      <w:r w:rsidR="009B0908">
        <w:rPr>
          <w:rFonts w:ascii="Arial" w:hAnsi="Arial" w:cs="Arial"/>
        </w:rPr>
        <w:t xml:space="preserve"> are anticipated to increase in the coming quarters. </w:t>
      </w:r>
      <w:r w:rsidR="00B75771" w:rsidRPr="00A121CA">
        <w:rPr>
          <w:rFonts w:ascii="Arial" w:hAnsi="Arial" w:cs="Arial"/>
        </w:rPr>
        <w:t xml:space="preserve">The next Quarterly Progress Report is due from grantees on May 15, 2024. </w:t>
      </w:r>
      <w:r w:rsidR="008C5790" w:rsidRPr="00A121CA">
        <w:rPr>
          <w:rFonts w:ascii="Arial" w:hAnsi="Arial" w:cs="Arial"/>
        </w:rPr>
        <w:t>Following BSCC’s review and subsequent analysis of the reports, updates regarding grantees’ progress and reported metrics will be made available on the</w:t>
      </w:r>
      <w:r w:rsidR="008C5790">
        <w:rPr>
          <w:rFonts w:ascii="Arial" w:hAnsi="Arial" w:cs="Arial"/>
        </w:rPr>
        <w:t xml:space="preserve"> </w:t>
      </w:r>
      <w:hyperlink r:id="rId14" w:history="1">
        <w:r w:rsidR="008C5790" w:rsidRPr="00C5399B">
          <w:rPr>
            <w:rStyle w:val="Hyperlink"/>
            <w:rFonts w:ascii="Arial" w:hAnsi="Arial" w:cs="Arial"/>
          </w:rPr>
          <w:t>grant webpage</w:t>
        </w:r>
      </w:hyperlink>
      <w:r w:rsidR="008C5790">
        <w:rPr>
          <w:rFonts w:ascii="Arial" w:hAnsi="Arial" w:cs="Arial"/>
        </w:rPr>
        <w:t>.</w:t>
      </w:r>
      <w:r w:rsidR="008C5790">
        <w:rPr>
          <w:rStyle w:val="FootnoteReference"/>
          <w:rFonts w:ascii="Arial" w:hAnsi="Arial" w:cs="Arial"/>
        </w:rPr>
        <w:footnoteReference w:id="6"/>
      </w:r>
    </w:p>
    <w:p w14:paraId="33E6C4BF" w14:textId="77777777" w:rsidR="008C5790" w:rsidRPr="00173362" w:rsidRDefault="008C5790" w:rsidP="00CA29BB">
      <w:pPr>
        <w:spacing w:after="120"/>
        <w:rPr>
          <w:rFonts w:ascii="Arial" w:hAnsi="Arial" w:cs="Arial"/>
        </w:rPr>
      </w:pPr>
    </w:p>
    <w:sectPr w:rsidR="008C5790" w:rsidRPr="00173362" w:rsidSect="00694130">
      <w:footerReference w:type="default" r:id="rId15"/>
      <w:pgSz w:w="12240" w:h="15840"/>
      <w:pgMar w:top="72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824B" w14:textId="77777777" w:rsidR="0031073B" w:rsidRDefault="0031073B" w:rsidP="0031073B">
      <w:pPr>
        <w:spacing w:after="0" w:line="240" w:lineRule="auto"/>
      </w:pPr>
      <w:r>
        <w:separator/>
      </w:r>
    </w:p>
  </w:endnote>
  <w:endnote w:type="continuationSeparator" w:id="0">
    <w:p w14:paraId="73922B21" w14:textId="77777777" w:rsidR="0031073B" w:rsidRDefault="0031073B" w:rsidP="0031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FE63" w14:textId="7F6DBF33" w:rsidR="0031073B" w:rsidRDefault="00173362" w:rsidP="00784870">
    <w:pPr>
      <w:pStyle w:val="Footer"/>
      <w:pBdr>
        <w:top w:val="single" w:sz="4" w:space="8" w:color="156082"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drawing>
        <wp:anchor distT="0" distB="0" distL="114300" distR="114300" simplePos="0" relativeHeight="251658240" behindDoc="0" locked="0" layoutInCell="1" allowOverlap="1" wp14:anchorId="449A4D67" wp14:editId="4C2072E6">
          <wp:simplePos x="0" y="0"/>
          <wp:positionH relativeFrom="column">
            <wp:posOffset>62865</wp:posOffset>
          </wp:positionH>
          <wp:positionV relativeFrom="paragraph">
            <wp:posOffset>391603</wp:posOffset>
          </wp:positionV>
          <wp:extent cx="958215" cy="445135"/>
          <wp:effectExtent l="0" t="0" r="0" b="0"/>
          <wp:wrapNone/>
          <wp:docPr id="80884046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1229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215" cy="445135"/>
                  </a:xfrm>
                  <a:prstGeom prst="rect">
                    <a:avLst/>
                  </a:prstGeom>
                </pic:spPr>
              </pic:pic>
            </a:graphicData>
          </a:graphic>
          <wp14:sizeRelH relativeFrom="page">
            <wp14:pctWidth>0</wp14:pctWidth>
          </wp14:sizeRelH>
          <wp14:sizeRelV relativeFrom="page">
            <wp14:pctHeight>0</wp14:pctHeight>
          </wp14:sizeRelV>
        </wp:anchor>
      </w:drawing>
    </w:r>
    <w:r w:rsidR="00993028" w:rsidRPr="00993028">
      <w:rPr>
        <w:noProof/>
        <w:color w:val="404040" w:themeColor="text1" w:themeTint="BF"/>
      </w:rPr>
      <mc:AlternateContent>
        <mc:Choice Requires="wps">
          <w:drawing>
            <wp:anchor distT="45720" distB="45720" distL="114300" distR="114300" simplePos="0" relativeHeight="251660288" behindDoc="0" locked="0" layoutInCell="1" allowOverlap="1" wp14:anchorId="7F24D045" wp14:editId="6FAFEE64">
              <wp:simplePos x="0" y="0"/>
              <wp:positionH relativeFrom="column">
                <wp:posOffset>1764665</wp:posOffset>
              </wp:positionH>
              <wp:positionV relativeFrom="paragraph">
                <wp:posOffset>461202</wp:posOffset>
              </wp:positionV>
              <wp:extent cx="2679405" cy="26794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405" cy="267940"/>
                      </a:xfrm>
                      <a:prstGeom prst="rect">
                        <a:avLst/>
                      </a:prstGeom>
                      <a:solidFill>
                        <a:srgbClr val="FFFFFF"/>
                      </a:solidFill>
                      <a:ln w="9525">
                        <a:noFill/>
                        <a:miter lim="800000"/>
                        <a:headEnd/>
                        <a:tailEnd/>
                      </a:ln>
                    </wps:spPr>
                    <wps:txbx>
                      <w:txbxContent>
                        <w:p w14:paraId="1C1E83D6" w14:textId="29A6E736" w:rsidR="00993028" w:rsidRPr="00173362" w:rsidRDefault="00993028">
                          <w:pPr>
                            <w:rPr>
                              <w:rFonts w:ascii="Arial" w:hAnsi="Arial" w:cs="Arial"/>
                            </w:rPr>
                          </w:pPr>
                          <w:r w:rsidRPr="00173362">
                            <w:rPr>
                              <w:rFonts w:ascii="Arial" w:hAnsi="Arial" w:cs="Arial"/>
                            </w:rPr>
                            <w:t xml:space="preserve">ORT Vertical Prosecution, </w:t>
                          </w:r>
                          <w:r w:rsidR="00173362" w:rsidRPr="00173362">
                            <w:rPr>
                              <w:rFonts w:ascii="Arial" w:hAnsi="Arial" w:cs="Arial"/>
                            </w:rP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4D045" id="_x0000_t202" coordsize="21600,21600" o:spt="202" path="m,l,21600r21600,l21600,xe">
              <v:stroke joinstyle="miter"/>
              <v:path gradientshapeok="t" o:connecttype="rect"/>
            </v:shapetype>
            <v:shape id="Text Box 2" o:spid="_x0000_s1030" type="#_x0000_t202" style="position:absolute;left:0;text-align:left;margin-left:138.95pt;margin-top:36.3pt;width:211pt;height:2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O2CgIAAPY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Xi6nq9zFecSfKNRkohiufXDn14r6Bj8VBypKEmdHF68CFWI4rnkJjMg9H1XhuTDDxUO4Ps&#10;JEgA+7Qm9N/CjGV9yderxSohW4jvkzY6HUigRnclv8njGiUT2Xhn6xQShDbjmSoxdqInMjJyE4Zq&#10;oMBIUwX1ExGFMAqRPg4dWsCfnPUkwpL7H0eBijPzwRLZ6/lyGVWbjOXqekEGXnqqS4+wkqBKHjgb&#10;j7uQlB55sHBHQ2l04uulkqlWEleicfoIUb2Xdop6+a7bXwAAAP//AwBQSwMEFAAGAAgAAAAhALKg&#10;tlLeAAAACgEAAA8AAABkcnMvZG93bnJldi54bWxMj8FOwzAMhu9IvENkJC6IpatGs5amEyCBuG7s&#10;AdzGayuapGqytXt7zAmOtj/9/v5yt9hBXGgKvXca1qsEBLnGm961Go5f749bECGiMzh4RxquFGBX&#10;3d6UWBg/uz1dDrEVHOJCgRq6GMdCytB0ZDGs/EiObyc/WYw8Tq00E84cbgeZJkkmLfaOP3Q40ltH&#10;zffhbDWcPueHp3yuP+JR7TfZK/aq9let7++Wl2cQkZb4B8OvPqtDxU61PzsTxKAhVSpnVINKMxAM&#10;ZHnOi5rJ9WYLsirl/wrVDwAAAP//AwBQSwECLQAUAAYACAAAACEAtoM4kv4AAADhAQAAEwAAAAAA&#10;AAAAAAAAAAAAAAAAW0NvbnRlbnRfVHlwZXNdLnhtbFBLAQItABQABgAIAAAAIQA4/SH/1gAAAJQB&#10;AAALAAAAAAAAAAAAAAAAAC8BAABfcmVscy8ucmVsc1BLAQItABQABgAIAAAAIQDxydO2CgIAAPYD&#10;AAAOAAAAAAAAAAAAAAAAAC4CAABkcnMvZTJvRG9jLnhtbFBLAQItABQABgAIAAAAIQCyoLZS3gAA&#10;AAoBAAAPAAAAAAAAAAAAAAAAAGQEAABkcnMvZG93bnJldi54bWxQSwUGAAAAAAQABADzAAAAbwUA&#10;AAAA&#10;" stroked="f">
              <v:textbox>
                <w:txbxContent>
                  <w:p w14:paraId="1C1E83D6" w14:textId="29A6E736" w:rsidR="00993028" w:rsidRPr="00173362" w:rsidRDefault="00993028">
                    <w:pPr>
                      <w:rPr>
                        <w:rFonts w:ascii="Arial" w:hAnsi="Arial" w:cs="Arial"/>
                      </w:rPr>
                    </w:pPr>
                    <w:r w:rsidRPr="00173362">
                      <w:rPr>
                        <w:rFonts w:ascii="Arial" w:hAnsi="Arial" w:cs="Arial"/>
                      </w:rPr>
                      <w:t xml:space="preserve">ORT Vertical Prosecution, </w:t>
                    </w:r>
                    <w:r w:rsidR="00173362" w:rsidRPr="00173362">
                      <w:rPr>
                        <w:rFonts w:ascii="Arial" w:hAnsi="Arial" w:cs="Arial"/>
                      </w:rPr>
                      <w:t>April 2024</w:t>
                    </w:r>
                  </w:p>
                </w:txbxContent>
              </v:textbox>
            </v:shape>
          </w:pict>
        </mc:Fallback>
      </mc:AlternateContent>
    </w:r>
  </w:p>
  <w:p w14:paraId="7C078FB2" w14:textId="5D361C77" w:rsidR="0031073B" w:rsidRPr="001A15F6" w:rsidRDefault="002849FD" w:rsidP="0031073B">
    <w:pPr>
      <w:pStyle w:val="Footer"/>
      <w:pBdr>
        <w:top w:val="single" w:sz="4" w:space="8" w:color="156082" w:themeColor="accent1"/>
      </w:pBdr>
      <w:tabs>
        <w:tab w:val="clear" w:pos="4680"/>
        <w:tab w:val="clear" w:pos="9360"/>
      </w:tabs>
      <w:spacing w:before="360"/>
      <w:contextualSpacing/>
      <w:jc w:val="right"/>
      <w:rPr>
        <w:rFonts w:ascii="Arial" w:hAnsi="Arial" w:cs="Arial"/>
        <w:noProof/>
        <w:color w:val="404040" w:themeColor="text1" w:themeTint="BF"/>
      </w:rPr>
    </w:pPr>
    <w:r w:rsidRPr="009B0908">
      <w:rPr>
        <w:rFonts w:ascii="Arial" w:hAnsi="Arial" w:cs="Arial"/>
        <w:noProof/>
      </w:rPr>
      <w:t>Page</w:t>
    </w:r>
    <w:r w:rsidR="009B0908">
      <w:rPr>
        <w:rFonts w:ascii="Arial" w:hAnsi="Arial" w:cs="Arial"/>
        <w:noProof/>
        <w:color w:val="7F7F7F" w:themeColor="background1" w:themeShade="7F"/>
      </w:rPr>
      <w:t xml:space="preserve"> </w:t>
    </w:r>
    <w:r w:rsidR="001A15F6" w:rsidRPr="001A15F6">
      <w:rPr>
        <w:rFonts w:ascii="Arial" w:hAnsi="Arial" w:cs="Arial"/>
        <w:noProof/>
        <w:color w:val="404040" w:themeColor="text1" w:themeTint="BF"/>
      </w:rPr>
      <w:t xml:space="preserve">| </w:t>
    </w:r>
    <w:r w:rsidR="001A15F6" w:rsidRPr="001A15F6">
      <w:rPr>
        <w:rFonts w:ascii="Arial" w:hAnsi="Arial" w:cs="Arial"/>
        <w:noProof/>
        <w:color w:val="404040" w:themeColor="text1" w:themeTint="BF"/>
      </w:rPr>
      <w:fldChar w:fldCharType="begin"/>
    </w:r>
    <w:r w:rsidR="001A15F6" w:rsidRPr="001A15F6">
      <w:rPr>
        <w:rFonts w:ascii="Arial" w:hAnsi="Arial" w:cs="Arial"/>
        <w:noProof/>
        <w:color w:val="404040" w:themeColor="text1" w:themeTint="BF"/>
      </w:rPr>
      <w:instrText xml:space="preserve"> PAGE   \* MERGEFORMAT </w:instrText>
    </w:r>
    <w:r w:rsidR="001A15F6" w:rsidRPr="001A15F6">
      <w:rPr>
        <w:rFonts w:ascii="Arial" w:hAnsi="Arial" w:cs="Arial"/>
        <w:noProof/>
        <w:color w:val="404040" w:themeColor="text1" w:themeTint="BF"/>
      </w:rPr>
      <w:fldChar w:fldCharType="separate"/>
    </w:r>
    <w:r w:rsidR="001A15F6" w:rsidRPr="001A15F6">
      <w:rPr>
        <w:rFonts w:ascii="Arial" w:hAnsi="Arial" w:cs="Arial"/>
        <w:noProof/>
        <w:color w:val="404040" w:themeColor="text1" w:themeTint="BF"/>
      </w:rPr>
      <w:t>1</w:t>
    </w:r>
    <w:r w:rsidR="001A15F6" w:rsidRPr="001A15F6">
      <w:rPr>
        <w:rFonts w:ascii="Arial" w:hAnsi="Arial" w:cs="Arial"/>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B350" w14:textId="77777777" w:rsidR="0031073B" w:rsidRDefault="0031073B" w:rsidP="0031073B">
      <w:pPr>
        <w:spacing w:after="0" w:line="240" w:lineRule="auto"/>
      </w:pPr>
      <w:r>
        <w:separator/>
      </w:r>
    </w:p>
  </w:footnote>
  <w:footnote w:type="continuationSeparator" w:id="0">
    <w:p w14:paraId="6541ADE7" w14:textId="77777777" w:rsidR="0031073B" w:rsidRDefault="0031073B" w:rsidP="0031073B">
      <w:pPr>
        <w:spacing w:after="0" w:line="240" w:lineRule="auto"/>
      </w:pPr>
      <w:r>
        <w:continuationSeparator/>
      </w:r>
    </w:p>
  </w:footnote>
  <w:footnote w:id="1">
    <w:p w14:paraId="0219A7FD" w14:textId="27986C2F" w:rsidR="00694130" w:rsidRPr="00694130" w:rsidRDefault="00694130" w:rsidP="002B6E5E">
      <w:pPr>
        <w:pStyle w:val="FootnoteText"/>
        <w:spacing w:after="40"/>
        <w:rPr>
          <w:rFonts w:ascii="Arial" w:hAnsi="Arial" w:cs="Arial"/>
        </w:rPr>
      </w:pPr>
      <w:r w:rsidRPr="00694130">
        <w:rPr>
          <w:rStyle w:val="FootnoteReference"/>
          <w:rFonts w:ascii="Arial" w:hAnsi="Arial" w:cs="Arial"/>
        </w:rPr>
        <w:footnoteRef/>
      </w:r>
      <w:r w:rsidRPr="00694130">
        <w:rPr>
          <w:rFonts w:ascii="Arial" w:hAnsi="Arial" w:cs="Arial"/>
        </w:rPr>
        <w:t xml:space="preserve"> https://www.bscc.ca.gov/organized-retail-theft-vertical-prosecution-grant-program/</w:t>
      </w:r>
    </w:p>
  </w:footnote>
  <w:footnote w:id="2">
    <w:p w14:paraId="540C43E6" w14:textId="1B2DCC5A" w:rsidR="006C5C00" w:rsidRPr="006C5C00" w:rsidRDefault="006C5C00">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For reference</w:t>
      </w:r>
      <w:r w:rsidR="00332F34">
        <w:rPr>
          <w:rFonts w:ascii="Arial" w:hAnsi="Arial" w:cs="Arial"/>
        </w:rPr>
        <w:t>,</w:t>
      </w:r>
      <w:r w:rsidRPr="006C5C00">
        <w:rPr>
          <w:rFonts w:ascii="Arial" w:hAnsi="Arial" w:cs="Arial"/>
        </w:rPr>
        <w:t xml:space="preserve"> the reporting template is available at </w:t>
      </w:r>
      <w:hyperlink r:id="rId1" w:history="1">
        <w:r w:rsidRPr="006C5C00">
          <w:rPr>
            <w:rStyle w:val="Hyperlink"/>
            <w:rFonts w:ascii="Arial" w:hAnsi="Arial" w:cs="Arial"/>
          </w:rPr>
          <w:t>https://www.bscc.ca.gov/wp-content/uploads/2024/03/ORT-Vertical-Prosecution-QPR_Final.-March2024.docx</w:t>
        </w:r>
      </w:hyperlink>
      <w:r w:rsidRPr="006C5C00">
        <w:rPr>
          <w:rFonts w:ascii="Arial" w:hAnsi="Arial" w:cs="Arial"/>
        </w:rPr>
        <w:t xml:space="preserve">. The data reporting guide with detailed reporting instructions and definitions is available at </w:t>
      </w:r>
      <w:hyperlink r:id="rId2" w:history="1">
        <w:r w:rsidRPr="006C5C00">
          <w:rPr>
            <w:rStyle w:val="Hyperlink"/>
            <w:rFonts w:ascii="Arial" w:hAnsi="Arial" w:cs="Arial"/>
          </w:rPr>
          <w:t>https://www.bscc.ca.gov/wp-content/uploads/2024/03/ORT-Vertical-Prosecution-Grantee-Data-Reporting-Guide_Final-March-2024.pdf</w:t>
        </w:r>
      </w:hyperlink>
      <w:r w:rsidRPr="006C5C00">
        <w:rPr>
          <w:rFonts w:ascii="Arial" w:hAnsi="Arial" w:cs="Arial"/>
        </w:rPr>
        <w:t xml:space="preserve">. </w:t>
      </w:r>
    </w:p>
  </w:footnote>
  <w:footnote w:id="3">
    <w:p w14:paraId="1C96546F" w14:textId="4466B3DC" w:rsidR="00B75771" w:rsidRPr="006C5C00" w:rsidRDefault="00B75771">
      <w:pPr>
        <w:pStyle w:val="FootnoteText"/>
        <w:rPr>
          <w:rFonts w:ascii="Arial" w:hAnsi="Arial" w:cs="Arial"/>
        </w:rPr>
      </w:pPr>
      <w:r w:rsidRPr="006C5C00">
        <w:rPr>
          <w:rStyle w:val="FootnoteReference"/>
          <w:rFonts w:ascii="Arial" w:hAnsi="Arial" w:cs="Arial"/>
        </w:rPr>
        <w:footnoteRef/>
      </w:r>
      <w:r w:rsidRPr="006C5C00">
        <w:rPr>
          <w:rFonts w:ascii="Arial" w:hAnsi="Arial" w:cs="Arial"/>
        </w:rPr>
        <w:t xml:space="preserve"> </w:t>
      </w:r>
      <w:r w:rsidR="004E78D4" w:rsidRPr="006C5C00">
        <w:rPr>
          <w:rFonts w:ascii="Arial" w:hAnsi="Arial" w:cs="Arial"/>
        </w:rPr>
        <w:t>Three grantees indicated using county-specific definitions</w:t>
      </w:r>
      <w:r w:rsidR="00345CB6">
        <w:rPr>
          <w:rFonts w:ascii="Arial" w:hAnsi="Arial" w:cs="Arial"/>
        </w:rPr>
        <w:t>.</w:t>
      </w:r>
      <w:r w:rsidR="004E78D4" w:rsidRPr="004E78D4">
        <w:rPr>
          <w:rFonts w:ascii="Arial" w:hAnsi="Arial" w:cs="Arial"/>
        </w:rPr>
        <w:t xml:space="preserve"> </w:t>
      </w:r>
      <w:r w:rsidR="00345CB6">
        <w:rPr>
          <w:rFonts w:ascii="Arial" w:hAnsi="Arial" w:cs="Arial"/>
        </w:rPr>
        <w:t xml:space="preserve">Differences compared to the BSSC definition are: One excludes PC section 215 (carjacking); one specifies including PC section 484 (petty theft) and 487 (grand theft), and the third includes PC section 182 (criminal conspiracy). </w:t>
      </w:r>
    </w:p>
  </w:footnote>
  <w:footnote w:id="4">
    <w:p w14:paraId="048509E2" w14:textId="3E3D41AA" w:rsidR="007F2131" w:rsidRDefault="007F2131" w:rsidP="007F2131">
      <w:pPr>
        <w:pStyle w:val="FootnoteText"/>
      </w:pPr>
      <w:r w:rsidRPr="004E78D4">
        <w:rPr>
          <w:rStyle w:val="FootnoteReference"/>
          <w:rFonts w:ascii="Arial" w:hAnsi="Arial" w:cs="Arial"/>
        </w:rPr>
        <w:footnoteRef/>
      </w:r>
      <w:r w:rsidRPr="004E78D4">
        <w:rPr>
          <w:rFonts w:ascii="Arial" w:hAnsi="Arial" w:cs="Arial"/>
        </w:rPr>
        <w:t xml:space="preserve"> </w:t>
      </w:r>
      <w:r w:rsidR="00397618">
        <w:rPr>
          <w:rFonts w:ascii="Arial" w:hAnsi="Arial" w:cs="Arial"/>
        </w:rPr>
        <w:t>One</w:t>
      </w:r>
      <w:r w:rsidR="004E78D4" w:rsidRPr="006C5C00">
        <w:rPr>
          <w:rFonts w:ascii="Arial" w:hAnsi="Arial" w:cs="Arial"/>
        </w:rPr>
        <w:t xml:space="preserve"> grantee indicated using</w:t>
      </w:r>
      <w:r w:rsidR="004E78D4">
        <w:rPr>
          <w:rFonts w:ascii="Arial" w:hAnsi="Arial" w:cs="Arial"/>
        </w:rPr>
        <w:t xml:space="preserve"> </w:t>
      </w:r>
      <w:r w:rsidR="00397618">
        <w:rPr>
          <w:rFonts w:ascii="Arial" w:hAnsi="Arial" w:cs="Arial"/>
        </w:rPr>
        <w:t xml:space="preserve">a </w:t>
      </w:r>
      <w:r w:rsidR="004E78D4" w:rsidRPr="006C5C00">
        <w:rPr>
          <w:rFonts w:ascii="Arial" w:hAnsi="Arial" w:cs="Arial"/>
        </w:rPr>
        <w:t>county-specific definition</w:t>
      </w:r>
      <w:r w:rsidR="00345CB6">
        <w:rPr>
          <w:rFonts w:ascii="Arial" w:hAnsi="Arial" w:cs="Arial"/>
        </w:rPr>
        <w:t xml:space="preserve">. </w:t>
      </w:r>
      <w:r w:rsidR="00397618">
        <w:rPr>
          <w:rFonts w:ascii="Arial" w:hAnsi="Arial" w:cs="Arial"/>
        </w:rPr>
        <w:t xml:space="preserve">Their definition is slightly expanded to include </w:t>
      </w:r>
      <w:r w:rsidR="00345CB6">
        <w:rPr>
          <w:rFonts w:ascii="Arial" w:hAnsi="Arial" w:cs="Arial"/>
        </w:rPr>
        <w:t>crimes committed alone and does not require proof beyond a reasonable doubt of intent to sell, exchange, or return the merchandise.</w:t>
      </w:r>
    </w:p>
  </w:footnote>
  <w:footnote w:id="5">
    <w:p w14:paraId="0EDA437B" w14:textId="40319442" w:rsidR="00497E8E" w:rsidRPr="00FB3852" w:rsidRDefault="00497E8E">
      <w:pPr>
        <w:pStyle w:val="FootnoteText"/>
        <w:rPr>
          <w:rFonts w:ascii="Arial" w:hAnsi="Arial" w:cs="Arial"/>
        </w:rPr>
      </w:pPr>
      <w:r w:rsidRPr="00FB3852">
        <w:rPr>
          <w:rStyle w:val="FootnoteReference"/>
          <w:rFonts w:ascii="Arial" w:hAnsi="Arial" w:cs="Arial"/>
        </w:rPr>
        <w:footnoteRef/>
      </w:r>
      <w:r w:rsidRPr="00FB3852">
        <w:rPr>
          <w:rFonts w:ascii="Arial" w:hAnsi="Arial" w:cs="Arial"/>
        </w:rPr>
        <w:t xml:space="preserve"> </w:t>
      </w:r>
      <w:r w:rsidR="00533131" w:rsidRPr="00FB3852">
        <w:rPr>
          <w:rFonts w:ascii="Arial" w:hAnsi="Arial" w:cs="Arial"/>
        </w:rPr>
        <w:t xml:space="preserve">If a person received more than one conviction, grantees were instructed to </w:t>
      </w:r>
      <w:r w:rsidR="00A121CA" w:rsidRPr="00FB3852">
        <w:rPr>
          <w:rFonts w:ascii="Arial" w:hAnsi="Arial" w:cs="Arial"/>
        </w:rPr>
        <w:t>classify</w:t>
      </w:r>
      <w:r w:rsidR="00533131" w:rsidRPr="00FB3852">
        <w:rPr>
          <w:rFonts w:ascii="Arial" w:hAnsi="Arial" w:cs="Arial"/>
        </w:rPr>
        <w:t xml:space="preserve"> </w:t>
      </w:r>
      <w:r w:rsidR="00A121CA" w:rsidRPr="00FB3852">
        <w:rPr>
          <w:rFonts w:ascii="Arial" w:hAnsi="Arial" w:cs="Arial"/>
        </w:rPr>
        <w:t xml:space="preserve">the conviction type as </w:t>
      </w:r>
      <w:r w:rsidR="00533131" w:rsidRPr="00FB3852">
        <w:rPr>
          <w:rFonts w:ascii="Arial" w:hAnsi="Arial" w:cs="Arial"/>
        </w:rPr>
        <w:t>a single instance of the highest level of conviction.</w:t>
      </w:r>
      <w:r w:rsidR="00DB4EA0" w:rsidRPr="00FB3852">
        <w:rPr>
          <w:rFonts w:ascii="Arial" w:hAnsi="Arial" w:cs="Arial"/>
        </w:rPr>
        <w:t xml:space="preserve"> If one person was convicted of a misdemeanor charge and a felony charge, they would be reported in the felony conviction category once.</w:t>
      </w:r>
    </w:p>
  </w:footnote>
  <w:footnote w:id="6">
    <w:p w14:paraId="7A2BD0D2" w14:textId="164E60CB" w:rsidR="008C5790" w:rsidRPr="007F2131" w:rsidRDefault="008C5790" w:rsidP="008C5790">
      <w:pPr>
        <w:pStyle w:val="FootnoteText"/>
        <w:rPr>
          <w:rFonts w:ascii="Arial" w:hAnsi="Arial" w:cs="Arial"/>
        </w:rPr>
      </w:pPr>
      <w:r w:rsidRPr="007F2131">
        <w:rPr>
          <w:rStyle w:val="FootnoteReference"/>
          <w:rFonts w:ascii="Arial" w:hAnsi="Arial" w:cs="Arial"/>
        </w:rPr>
        <w:footnoteRef/>
      </w:r>
      <w:r w:rsidRPr="007F2131">
        <w:rPr>
          <w:rFonts w:ascii="Arial" w:hAnsi="Arial" w:cs="Arial"/>
        </w:rPr>
        <w:t xml:space="preserve"> https://www.bscc.ca.gov/organized-retail-theft-vertical-prosecution-grant-program/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6B4"/>
    <w:multiLevelType w:val="hybridMultilevel"/>
    <w:tmpl w:val="A476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219E"/>
    <w:multiLevelType w:val="hybridMultilevel"/>
    <w:tmpl w:val="1206CD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57FD1"/>
    <w:multiLevelType w:val="hybridMultilevel"/>
    <w:tmpl w:val="6EB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94F84"/>
    <w:multiLevelType w:val="hybridMultilevel"/>
    <w:tmpl w:val="9EA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F64A9"/>
    <w:multiLevelType w:val="hybridMultilevel"/>
    <w:tmpl w:val="EC7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E3B18"/>
    <w:multiLevelType w:val="hybridMultilevel"/>
    <w:tmpl w:val="1FF8E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A31DF"/>
    <w:multiLevelType w:val="hybridMultilevel"/>
    <w:tmpl w:val="F9C0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FC317A"/>
    <w:multiLevelType w:val="hybridMultilevel"/>
    <w:tmpl w:val="A53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E63BA"/>
    <w:multiLevelType w:val="hybridMultilevel"/>
    <w:tmpl w:val="BF30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26D39"/>
    <w:multiLevelType w:val="hybridMultilevel"/>
    <w:tmpl w:val="FBC07C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60D772A7"/>
    <w:multiLevelType w:val="hybridMultilevel"/>
    <w:tmpl w:val="99E2F5E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60E73686"/>
    <w:multiLevelType w:val="hybridMultilevel"/>
    <w:tmpl w:val="DF5A4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BF3467"/>
    <w:multiLevelType w:val="hybridMultilevel"/>
    <w:tmpl w:val="FDC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51CFF"/>
    <w:multiLevelType w:val="hybridMultilevel"/>
    <w:tmpl w:val="58C63F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79E5A66"/>
    <w:multiLevelType w:val="hybridMultilevel"/>
    <w:tmpl w:val="7A021EB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15:restartNumberingAfterBreak="0">
    <w:nsid w:val="6FF303BD"/>
    <w:multiLevelType w:val="hybridMultilevel"/>
    <w:tmpl w:val="DCF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54CC3"/>
    <w:multiLevelType w:val="hybridMultilevel"/>
    <w:tmpl w:val="74AE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05167">
    <w:abstractNumId w:val="16"/>
  </w:num>
  <w:num w:numId="2" w16cid:durableId="506749574">
    <w:abstractNumId w:val="8"/>
  </w:num>
  <w:num w:numId="3" w16cid:durableId="1755515337">
    <w:abstractNumId w:val="1"/>
  </w:num>
  <w:num w:numId="4" w16cid:durableId="1884438092">
    <w:abstractNumId w:val="5"/>
  </w:num>
  <w:num w:numId="5" w16cid:durableId="1655067906">
    <w:abstractNumId w:val="15"/>
  </w:num>
  <w:num w:numId="6" w16cid:durableId="946888347">
    <w:abstractNumId w:val="3"/>
  </w:num>
  <w:num w:numId="7" w16cid:durableId="776605251">
    <w:abstractNumId w:val="13"/>
  </w:num>
  <w:num w:numId="8" w16cid:durableId="1360163629">
    <w:abstractNumId w:val="14"/>
  </w:num>
  <w:num w:numId="9" w16cid:durableId="1872844237">
    <w:abstractNumId w:val="9"/>
  </w:num>
  <w:num w:numId="10" w16cid:durableId="2030376436">
    <w:abstractNumId w:val="11"/>
  </w:num>
  <w:num w:numId="11" w16cid:durableId="323247247">
    <w:abstractNumId w:val="4"/>
  </w:num>
  <w:num w:numId="12" w16cid:durableId="730347787">
    <w:abstractNumId w:val="6"/>
  </w:num>
  <w:num w:numId="13" w16cid:durableId="913396264">
    <w:abstractNumId w:val="0"/>
  </w:num>
  <w:num w:numId="14" w16cid:durableId="1780950612">
    <w:abstractNumId w:val="2"/>
  </w:num>
  <w:num w:numId="15" w16cid:durableId="1660232133">
    <w:abstractNumId w:val="7"/>
  </w:num>
  <w:num w:numId="16" w16cid:durableId="1235049940">
    <w:abstractNumId w:val="12"/>
  </w:num>
  <w:num w:numId="17" w16cid:durableId="872422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B"/>
    <w:rsid w:val="000735BA"/>
    <w:rsid w:val="00084425"/>
    <w:rsid w:val="00096E55"/>
    <w:rsid w:val="000B719C"/>
    <w:rsid w:val="000D773D"/>
    <w:rsid w:val="000F407E"/>
    <w:rsid w:val="0011775C"/>
    <w:rsid w:val="00122CEE"/>
    <w:rsid w:val="001262CD"/>
    <w:rsid w:val="0012734B"/>
    <w:rsid w:val="00145C2D"/>
    <w:rsid w:val="00160C24"/>
    <w:rsid w:val="00170385"/>
    <w:rsid w:val="00173362"/>
    <w:rsid w:val="00197567"/>
    <w:rsid w:val="001A15F6"/>
    <w:rsid w:val="001B76BD"/>
    <w:rsid w:val="001F55CE"/>
    <w:rsid w:val="002021D2"/>
    <w:rsid w:val="00224637"/>
    <w:rsid w:val="00237CBA"/>
    <w:rsid w:val="002849FD"/>
    <w:rsid w:val="002B6DF6"/>
    <w:rsid w:val="002B6E5E"/>
    <w:rsid w:val="00304289"/>
    <w:rsid w:val="0031073B"/>
    <w:rsid w:val="00327692"/>
    <w:rsid w:val="003309DE"/>
    <w:rsid w:val="00332F34"/>
    <w:rsid w:val="00336273"/>
    <w:rsid w:val="00337139"/>
    <w:rsid w:val="00345CB6"/>
    <w:rsid w:val="0035546B"/>
    <w:rsid w:val="00356526"/>
    <w:rsid w:val="0037454A"/>
    <w:rsid w:val="00397618"/>
    <w:rsid w:val="003B362F"/>
    <w:rsid w:val="003C5818"/>
    <w:rsid w:val="003D0EAD"/>
    <w:rsid w:val="003F05F2"/>
    <w:rsid w:val="004070E2"/>
    <w:rsid w:val="00424B49"/>
    <w:rsid w:val="00424CD3"/>
    <w:rsid w:val="004272B7"/>
    <w:rsid w:val="004304F5"/>
    <w:rsid w:val="004356A7"/>
    <w:rsid w:val="00450246"/>
    <w:rsid w:val="004525A0"/>
    <w:rsid w:val="00497E8E"/>
    <w:rsid w:val="004C2CAD"/>
    <w:rsid w:val="004C70A8"/>
    <w:rsid w:val="004E33A0"/>
    <w:rsid w:val="004E389A"/>
    <w:rsid w:val="004E78D4"/>
    <w:rsid w:val="004F181E"/>
    <w:rsid w:val="00533131"/>
    <w:rsid w:val="00535989"/>
    <w:rsid w:val="005B1404"/>
    <w:rsid w:val="006079E5"/>
    <w:rsid w:val="0063240C"/>
    <w:rsid w:val="00655E13"/>
    <w:rsid w:val="00677265"/>
    <w:rsid w:val="00694130"/>
    <w:rsid w:val="006B20E9"/>
    <w:rsid w:val="006C5C00"/>
    <w:rsid w:val="0076300B"/>
    <w:rsid w:val="00784870"/>
    <w:rsid w:val="007913CE"/>
    <w:rsid w:val="007A7967"/>
    <w:rsid w:val="007B3F4E"/>
    <w:rsid w:val="007C1B70"/>
    <w:rsid w:val="007E7461"/>
    <w:rsid w:val="007F1870"/>
    <w:rsid w:val="007F2131"/>
    <w:rsid w:val="00811519"/>
    <w:rsid w:val="00880F95"/>
    <w:rsid w:val="00890CE7"/>
    <w:rsid w:val="008C5790"/>
    <w:rsid w:val="008F171B"/>
    <w:rsid w:val="009317DE"/>
    <w:rsid w:val="009743A6"/>
    <w:rsid w:val="00980FE8"/>
    <w:rsid w:val="0099216F"/>
    <w:rsid w:val="00993028"/>
    <w:rsid w:val="009B0908"/>
    <w:rsid w:val="009C29D5"/>
    <w:rsid w:val="009E49F8"/>
    <w:rsid w:val="009E74F2"/>
    <w:rsid w:val="009E7981"/>
    <w:rsid w:val="00A01009"/>
    <w:rsid w:val="00A121CA"/>
    <w:rsid w:val="00A146CD"/>
    <w:rsid w:val="00A360D3"/>
    <w:rsid w:val="00A97BC9"/>
    <w:rsid w:val="00AA1F7E"/>
    <w:rsid w:val="00AB3706"/>
    <w:rsid w:val="00AC694D"/>
    <w:rsid w:val="00AE6341"/>
    <w:rsid w:val="00AF2F67"/>
    <w:rsid w:val="00B176BE"/>
    <w:rsid w:val="00B40825"/>
    <w:rsid w:val="00B75771"/>
    <w:rsid w:val="00B949F0"/>
    <w:rsid w:val="00BC1296"/>
    <w:rsid w:val="00BC757F"/>
    <w:rsid w:val="00BF63A3"/>
    <w:rsid w:val="00C425F6"/>
    <w:rsid w:val="00C45AD9"/>
    <w:rsid w:val="00C478D9"/>
    <w:rsid w:val="00CA26E6"/>
    <w:rsid w:val="00CA29BB"/>
    <w:rsid w:val="00CD4AC0"/>
    <w:rsid w:val="00D31D7B"/>
    <w:rsid w:val="00DA6A61"/>
    <w:rsid w:val="00DB151D"/>
    <w:rsid w:val="00DB1F71"/>
    <w:rsid w:val="00DB4EA0"/>
    <w:rsid w:val="00DC1A41"/>
    <w:rsid w:val="00DC6E95"/>
    <w:rsid w:val="00DC7777"/>
    <w:rsid w:val="00DD0E84"/>
    <w:rsid w:val="00E07223"/>
    <w:rsid w:val="00E1317B"/>
    <w:rsid w:val="00E24893"/>
    <w:rsid w:val="00E25BC4"/>
    <w:rsid w:val="00E634D5"/>
    <w:rsid w:val="00EA6EC2"/>
    <w:rsid w:val="00ED190B"/>
    <w:rsid w:val="00F33E7E"/>
    <w:rsid w:val="00F8532A"/>
    <w:rsid w:val="00FB3852"/>
    <w:rsid w:val="00FC33D2"/>
    <w:rsid w:val="00FD1515"/>
    <w:rsid w:val="00F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858A"/>
  <w15:chartTrackingRefBased/>
  <w15:docId w15:val="{AAC4B027-A0D4-4EDC-8471-9E20BEAD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3B"/>
    <w:rPr>
      <w:rFonts w:eastAsiaTheme="majorEastAsia" w:cstheme="majorBidi"/>
      <w:color w:val="272727" w:themeColor="text1" w:themeTint="D8"/>
    </w:rPr>
  </w:style>
  <w:style w:type="paragraph" w:styleId="Title">
    <w:name w:val="Title"/>
    <w:basedOn w:val="Normal"/>
    <w:next w:val="Normal"/>
    <w:link w:val="TitleChar"/>
    <w:uiPriority w:val="10"/>
    <w:qFormat/>
    <w:rsid w:val="0031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3B"/>
    <w:pPr>
      <w:spacing w:before="160"/>
      <w:jc w:val="center"/>
    </w:pPr>
    <w:rPr>
      <w:i/>
      <w:iCs/>
      <w:color w:val="404040" w:themeColor="text1" w:themeTint="BF"/>
    </w:rPr>
  </w:style>
  <w:style w:type="character" w:customStyle="1" w:styleId="QuoteChar">
    <w:name w:val="Quote Char"/>
    <w:basedOn w:val="DefaultParagraphFont"/>
    <w:link w:val="Quote"/>
    <w:uiPriority w:val="29"/>
    <w:rsid w:val="0031073B"/>
    <w:rPr>
      <w:i/>
      <w:iCs/>
      <w:color w:val="404040" w:themeColor="text1" w:themeTint="BF"/>
    </w:rPr>
  </w:style>
  <w:style w:type="paragraph" w:styleId="ListParagraph">
    <w:name w:val="List Paragraph"/>
    <w:basedOn w:val="Normal"/>
    <w:uiPriority w:val="34"/>
    <w:qFormat/>
    <w:rsid w:val="0031073B"/>
    <w:pPr>
      <w:ind w:left="720"/>
      <w:contextualSpacing/>
    </w:pPr>
  </w:style>
  <w:style w:type="character" w:styleId="IntenseEmphasis">
    <w:name w:val="Intense Emphasis"/>
    <w:basedOn w:val="DefaultParagraphFont"/>
    <w:uiPriority w:val="21"/>
    <w:qFormat/>
    <w:rsid w:val="0031073B"/>
    <w:rPr>
      <w:i/>
      <w:iCs/>
      <w:color w:val="0F4761" w:themeColor="accent1" w:themeShade="BF"/>
    </w:rPr>
  </w:style>
  <w:style w:type="paragraph" w:styleId="IntenseQuote">
    <w:name w:val="Intense Quote"/>
    <w:basedOn w:val="Normal"/>
    <w:next w:val="Normal"/>
    <w:link w:val="IntenseQuoteChar"/>
    <w:uiPriority w:val="30"/>
    <w:qFormat/>
    <w:rsid w:val="0031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73B"/>
    <w:rPr>
      <w:i/>
      <w:iCs/>
      <w:color w:val="0F4761" w:themeColor="accent1" w:themeShade="BF"/>
    </w:rPr>
  </w:style>
  <w:style w:type="character" w:styleId="IntenseReference">
    <w:name w:val="Intense Reference"/>
    <w:basedOn w:val="DefaultParagraphFont"/>
    <w:uiPriority w:val="32"/>
    <w:qFormat/>
    <w:rsid w:val="0031073B"/>
    <w:rPr>
      <w:b/>
      <w:bCs/>
      <w:smallCaps/>
      <w:color w:val="0F4761" w:themeColor="accent1" w:themeShade="BF"/>
      <w:spacing w:val="5"/>
    </w:rPr>
  </w:style>
  <w:style w:type="paragraph" w:styleId="Header">
    <w:name w:val="header"/>
    <w:basedOn w:val="Normal"/>
    <w:link w:val="HeaderChar"/>
    <w:uiPriority w:val="99"/>
    <w:unhideWhenUsed/>
    <w:rsid w:val="0031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3B"/>
  </w:style>
  <w:style w:type="paragraph" w:styleId="Footer">
    <w:name w:val="footer"/>
    <w:basedOn w:val="Normal"/>
    <w:link w:val="FooterChar"/>
    <w:uiPriority w:val="99"/>
    <w:unhideWhenUsed/>
    <w:qFormat/>
    <w:rsid w:val="0031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3B"/>
  </w:style>
  <w:style w:type="paragraph" w:styleId="FootnoteText">
    <w:name w:val="footnote text"/>
    <w:basedOn w:val="Normal"/>
    <w:link w:val="FootnoteTextChar"/>
    <w:uiPriority w:val="99"/>
    <w:semiHidden/>
    <w:unhideWhenUsed/>
    <w:rsid w:val="00694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130"/>
    <w:rPr>
      <w:sz w:val="20"/>
      <w:szCs w:val="20"/>
    </w:rPr>
  </w:style>
  <w:style w:type="character" w:styleId="FootnoteReference">
    <w:name w:val="footnote reference"/>
    <w:basedOn w:val="DefaultParagraphFont"/>
    <w:uiPriority w:val="99"/>
    <w:semiHidden/>
    <w:unhideWhenUsed/>
    <w:rsid w:val="00694130"/>
    <w:rPr>
      <w:vertAlign w:val="superscript"/>
    </w:rPr>
  </w:style>
  <w:style w:type="character" w:styleId="Hyperlink">
    <w:name w:val="Hyperlink"/>
    <w:basedOn w:val="DefaultParagraphFont"/>
    <w:uiPriority w:val="99"/>
    <w:unhideWhenUsed/>
    <w:rsid w:val="00694130"/>
    <w:rPr>
      <w:color w:val="467886" w:themeColor="hyperlink"/>
      <w:u w:val="single"/>
    </w:rPr>
  </w:style>
  <w:style w:type="character" w:styleId="UnresolvedMention">
    <w:name w:val="Unresolved Mention"/>
    <w:basedOn w:val="DefaultParagraphFont"/>
    <w:uiPriority w:val="99"/>
    <w:semiHidden/>
    <w:unhideWhenUsed/>
    <w:rsid w:val="00694130"/>
    <w:rPr>
      <w:color w:val="605E5C"/>
      <w:shd w:val="clear" w:color="auto" w:fill="E1DFDD"/>
    </w:rPr>
  </w:style>
  <w:style w:type="paragraph" w:styleId="BodyText">
    <w:name w:val="Body Text"/>
    <w:basedOn w:val="Normal"/>
    <w:link w:val="BodyTextChar"/>
    <w:uiPriority w:val="1"/>
    <w:qFormat/>
    <w:rsid w:val="004304F5"/>
    <w:pPr>
      <w:widowControl w:val="0"/>
      <w:autoSpaceDE w:val="0"/>
      <w:autoSpaceDN w:val="0"/>
      <w:spacing w:after="0" w:line="240" w:lineRule="auto"/>
    </w:pPr>
    <w:rPr>
      <w:rFonts w:ascii="Arial" w:eastAsia="Arial" w:hAnsi="Arial" w:cs="Arial"/>
      <w:kern w:val="0"/>
      <w:szCs w:val="20"/>
      <w14:ligatures w14:val="none"/>
    </w:rPr>
  </w:style>
  <w:style w:type="character" w:customStyle="1" w:styleId="BodyTextChar">
    <w:name w:val="Body Text Char"/>
    <w:basedOn w:val="DefaultParagraphFont"/>
    <w:link w:val="BodyText"/>
    <w:uiPriority w:val="1"/>
    <w:rsid w:val="004304F5"/>
    <w:rPr>
      <w:rFonts w:ascii="Arial" w:eastAsia="Arial" w:hAnsi="Arial" w:cs="Arial"/>
      <w:kern w:val="0"/>
      <w:szCs w:val="20"/>
      <w14:ligatures w14:val="none"/>
    </w:rPr>
  </w:style>
  <w:style w:type="paragraph" w:styleId="Caption">
    <w:name w:val="caption"/>
    <w:basedOn w:val="Normal"/>
    <w:next w:val="Normal"/>
    <w:uiPriority w:val="35"/>
    <w:unhideWhenUsed/>
    <w:qFormat/>
    <w:rsid w:val="001262CD"/>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4525A0"/>
    <w:rPr>
      <w:sz w:val="16"/>
      <w:szCs w:val="16"/>
    </w:rPr>
  </w:style>
  <w:style w:type="paragraph" w:styleId="CommentText">
    <w:name w:val="annotation text"/>
    <w:basedOn w:val="Normal"/>
    <w:link w:val="CommentTextChar"/>
    <w:uiPriority w:val="99"/>
    <w:unhideWhenUsed/>
    <w:rsid w:val="004525A0"/>
    <w:pPr>
      <w:spacing w:line="240" w:lineRule="auto"/>
    </w:pPr>
    <w:rPr>
      <w:sz w:val="20"/>
      <w:szCs w:val="20"/>
    </w:rPr>
  </w:style>
  <w:style w:type="character" w:customStyle="1" w:styleId="CommentTextChar">
    <w:name w:val="Comment Text Char"/>
    <w:basedOn w:val="DefaultParagraphFont"/>
    <w:link w:val="CommentText"/>
    <w:uiPriority w:val="99"/>
    <w:rsid w:val="004525A0"/>
    <w:rPr>
      <w:sz w:val="20"/>
      <w:szCs w:val="20"/>
    </w:rPr>
  </w:style>
  <w:style w:type="paragraph" w:styleId="CommentSubject">
    <w:name w:val="annotation subject"/>
    <w:basedOn w:val="CommentText"/>
    <w:next w:val="CommentText"/>
    <w:link w:val="CommentSubjectChar"/>
    <w:uiPriority w:val="99"/>
    <w:semiHidden/>
    <w:unhideWhenUsed/>
    <w:rsid w:val="004525A0"/>
    <w:rPr>
      <w:b/>
      <w:bCs/>
    </w:rPr>
  </w:style>
  <w:style w:type="character" w:customStyle="1" w:styleId="CommentSubjectChar">
    <w:name w:val="Comment Subject Char"/>
    <w:basedOn w:val="CommentTextChar"/>
    <w:link w:val="CommentSubject"/>
    <w:uiPriority w:val="99"/>
    <w:semiHidden/>
    <w:rsid w:val="004525A0"/>
    <w:rPr>
      <w:b/>
      <w:bCs/>
      <w:sz w:val="20"/>
      <w:szCs w:val="20"/>
    </w:rPr>
  </w:style>
  <w:style w:type="paragraph" w:styleId="Revision">
    <w:name w:val="Revision"/>
    <w:hidden/>
    <w:uiPriority w:val="99"/>
    <w:semiHidden/>
    <w:rsid w:val="00655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cc.ca.gov/organized-retail-theft-vertical-prosecution-grant-progra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scc.ca.gov/organized-retail-theft-vertical-prosecution-grant-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bscc.ca.gov/wp-content/uploads/2024/03/ORT-Vertical-Prosecution-Grantee-Data-Reporting-Guide_Final-March-2024.pdf" TargetMode="External"/><Relationship Id="rId1" Type="http://schemas.openxmlformats.org/officeDocument/2006/relationships/hyperlink" Target="https://www.bscc.ca.gov/wp-content/uploads/2024/03/ORT-Vertical-Prosecution-QPR_Final.-March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21ED-45A8-4211-9A0C-727FD812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Warmuth, Kasey@BSCC</cp:lastModifiedBy>
  <cp:revision>9</cp:revision>
  <dcterms:created xsi:type="dcterms:W3CDTF">2024-03-28T18:43:00Z</dcterms:created>
  <dcterms:modified xsi:type="dcterms:W3CDTF">2024-03-28T21:55:00Z</dcterms:modified>
</cp:coreProperties>
</file>